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88207" w14:textId="2638F7A8" w:rsidR="00F85F55" w:rsidRPr="00E71E7E" w:rsidRDefault="003A5178" w:rsidP="00E71E7E">
      <w:pPr>
        <w:spacing w:after="6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53619543"/>
      <w:r w:rsidRPr="00E71E7E">
        <w:rPr>
          <w:rFonts w:ascii="Times New Roman" w:hAnsi="Times New Roman" w:cs="Times New Roman"/>
          <w:b/>
          <w:sz w:val="24"/>
          <w:szCs w:val="24"/>
        </w:rPr>
        <w:t>LA LIMITACIÓN DEL ART</w:t>
      </w:r>
      <w:r w:rsidR="00E71E7E" w:rsidRPr="00E71E7E">
        <w:rPr>
          <w:rFonts w:ascii="Times New Roman" w:hAnsi="Times New Roman" w:cs="Times New Roman"/>
          <w:b/>
          <w:sz w:val="24"/>
          <w:szCs w:val="24"/>
        </w:rPr>
        <w:t>ÍCULO</w:t>
      </w:r>
      <w:r w:rsidRPr="00E71E7E">
        <w:rPr>
          <w:rFonts w:ascii="Times New Roman" w:hAnsi="Times New Roman" w:cs="Times New Roman"/>
          <w:b/>
          <w:sz w:val="24"/>
          <w:szCs w:val="24"/>
        </w:rPr>
        <w:t xml:space="preserve"> 1 DEL </w:t>
      </w:r>
      <w:r w:rsidR="00E71E7E" w:rsidRPr="00E71E7E">
        <w:rPr>
          <w:rFonts w:ascii="Times New Roman" w:hAnsi="Times New Roman" w:cs="Times New Roman"/>
          <w:b/>
          <w:sz w:val="24"/>
          <w:szCs w:val="24"/>
        </w:rPr>
        <w:t xml:space="preserve">DL </w:t>
      </w:r>
      <w:r w:rsidRPr="00E71E7E">
        <w:rPr>
          <w:rFonts w:ascii="Times New Roman" w:hAnsi="Times New Roman" w:cs="Times New Roman"/>
          <w:b/>
          <w:sz w:val="24"/>
          <w:szCs w:val="24"/>
        </w:rPr>
        <w:t>29/2026 A LA ADQUIS</w:t>
      </w:r>
      <w:r w:rsidR="00E71E7E" w:rsidRPr="00E71E7E">
        <w:rPr>
          <w:rFonts w:ascii="Times New Roman" w:hAnsi="Times New Roman" w:cs="Times New Roman"/>
          <w:b/>
          <w:sz w:val="24"/>
          <w:szCs w:val="24"/>
        </w:rPr>
        <w:t>I</w:t>
      </w:r>
      <w:r w:rsidRPr="00E71E7E">
        <w:rPr>
          <w:rFonts w:ascii="Times New Roman" w:hAnsi="Times New Roman" w:cs="Times New Roman"/>
          <w:b/>
          <w:sz w:val="24"/>
          <w:szCs w:val="24"/>
        </w:rPr>
        <w:t>CIÓN DE VIVIENDAS POR FONDOS BUITRES Y GRANDES TENEDORES</w:t>
      </w:r>
    </w:p>
    <w:bookmarkEnd w:id="0"/>
    <w:p w14:paraId="2281076F" w14:textId="77777777" w:rsidR="00F85F55" w:rsidRPr="00E71E7E" w:rsidRDefault="00F85F55" w:rsidP="00E71E7E">
      <w:pPr>
        <w:spacing w:line="220" w:lineRule="exact"/>
        <w:rPr>
          <w:rFonts w:ascii="Times New Roman" w:hAnsi="Times New Roman" w:cs="Times New Roman"/>
          <w:b/>
          <w:sz w:val="24"/>
          <w:szCs w:val="24"/>
        </w:rPr>
      </w:pPr>
      <w:r w:rsidRPr="00E71E7E">
        <w:rPr>
          <w:rFonts w:ascii="Times New Roman" w:hAnsi="Times New Roman" w:cs="Times New Roman"/>
          <w:b/>
          <w:i/>
          <w:sz w:val="24"/>
          <w:szCs w:val="24"/>
        </w:rPr>
        <w:t>Vicente Martorell. Notario de Oviedo</w:t>
      </w:r>
    </w:p>
    <w:p w14:paraId="20F2166E" w14:textId="77777777" w:rsidR="00F85F55" w:rsidRPr="003A5178" w:rsidRDefault="00F85F55" w:rsidP="00F85F55">
      <w:pPr>
        <w:rPr>
          <w:rFonts w:ascii="Times New Roman" w:hAnsi="Times New Roman" w:cs="Times New Roman"/>
        </w:rPr>
      </w:pPr>
    </w:p>
    <w:p w14:paraId="02533515" w14:textId="77777777" w:rsidR="00F85F55" w:rsidRPr="003A5178" w:rsidRDefault="00F85F55" w:rsidP="00F85F55">
      <w:pPr>
        <w:rPr>
          <w:rFonts w:ascii="Times New Roman" w:hAnsi="Times New Roman" w:cs="Times New Roman"/>
        </w:rPr>
      </w:pPr>
      <w:r w:rsidRPr="003A5178">
        <w:rPr>
          <w:rFonts w:ascii="Times New Roman" w:hAnsi="Times New Roman" w:cs="Times New Roman"/>
        </w:rPr>
        <w:t>N</w:t>
      </w:r>
      <w:r w:rsidRPr="003A5178">
        <w:rPr>
          <w:rFonts w:ascii="Times New Roman" w:hAnsi="Times New Roman" w:cs="Times New Roman"/>
          <w:sz w:val="20"/>
          <w:szCs w:val="20"/>
        </w:rPr>
        <w:t>OTA</w:t>
      </w:r>
      <w:r w:rsidRPr="003A5178">
        <w:rPr>
          <w:rFonts w:ascii="Times New Roman" w:hAnsi="Times New Roman" w:cs="Times New Roman"/>
        </w:rPr>
        <w:t xml:space="preserve">.- Estos cuadros van actualizándose en </w:t>
      </w:r>
      <w:hyperlink r:id="rId7" w:history="1">
        <w:r w:rsidRPr="003A5178">
          <w:rPr>
            <w:rStyle w:val="Hipervnculo"/>
            <w:rFonts w:ascii="Times New Roman" w:hAnsi="Times New Roman" w:cs="Times New Roman"/>
          </w:rPr>
          <w:t>www.oviedonotaria.com</w:t>
        </w:r>
      </w:hyperlink>
    </w:p>
    <w:p w14:paraId="4D28262B" w14:textId="77777777" w:rsidR="00F85F55" w:rsidRPr="003A5178" w:rsidRDefault="00F85F55" w:rsidP="00F85F55">
      <w:pPr>
        <w:rPr>
          <w:rFonts w:ascii="Times New Roman" w:hAnsi="Times New Roman" w:cs="Times New Roman"/>
        </w:rPr>
      </w:pPr>
    </w:p>
    <w:p w14:paraId="030AEA96" w14:textId="77777777" w:rsidR="00F85F55" w:rsidRPr="003A5178" w:rsidRDefault="00F85F55" w:rsidP="00F85F55">
      <w:pPr>
        <w:rPr>
          <w:rFonts w:ascii="Times New Roman" w:hAnsi="Times New Roman" w:cs="Times New Roman"/>
        </w:rPr>
      </w:pPr>
    </w:p>
    <w:p w14:paraId="54D63630" w14:textId="4CF2FD35" w:rsidR="00F85F55" w:rsidRPr="003A5178" w:rsidRDefault="003A5178" w:rsidP="00F85F5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</w:rPr>
      </w:pPr>
      <w:hyperlink w:anchor="ANÁLISIS" w:history="1">
        <w:r w:rsidRPr="00421908">
          <w:rPr>
            <w:rStyle w:val="Hipervnculo"/>
            <w:rFonts w:ascii="Times New Roman" w:hAnsi="Times New Roman" w:cs="Times New Roman"/>
          </w:rPr>
          <w:t>ANÁLISIS</w:t>
        </w:r>
      </w:hyperlink>
      <w:r w:rsidR="00F85F55" w:rsidRPr="003A5178">
        <w:rPr>
          <w:rFonts w:ascii="Times New Roman" w:hAnsi="Times New Roman" w:cs="Times New Roman"/>
        </w:rPr>
        <w:t>: vigor</w:t>
      </w:r>
      <w:r>
        <w:rPr>
          <w:rFonts w:ascii="Times New Roman" w:hAnsi="Times New Roman" w:cs="Times New Roman"/>
        </w:rPr>
        <w:t>, finalidad, efectos, adquirentes afectados 1 fondos buitres, adquirentes afectados 2 personas jurídicas grandes tenedores, objeto, tipos de adquisición</w:t>
      </w:r>
      <w:r w:rsidR="00AB1AB4">
        <w:rPr>
          <w:rFonts w:ascii="Times New Roman" w:hAnsi="Times New Roman" w:cs="Times New Roman"/>
        </w:rPr>
        <w:t xml:space="preserve"> onerosas o gratuitas</w:t>
      </w:r>
      <w:r>
        <w:rPr>
          <w:rFonts w:ascii="Times New Roman" w:hAnsi="Times New Roman" w:cs="Times New Roman"/>
        </w:rPr>
        <w:t>, excepción de la contraprestación</w:t>
      </w:r>
    </w:p>
    <w:p w14:paraId="38E9A409" w14:textId="1BDFF17A" w:rsidR="00F85F55" w:rsidRPr="003A5178" w:rsidRDefault="00F85F55" w:rsidP="00F85F5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</w:rPr>
      </w:pPr>
      <w:hyperlink w:anchor="PROCEDIMIENTO" w:history="1">
        <w:r w:rsidRPr="004645D3">
          <w:rPr>
            <w:rStyle w:val="Hipervnculo"/>
            <w:rFonts w:ascii="Times New Roman" w:hAnsi="Times New Roman" w:cs="Times New Roman"/>
          </w:rPr>
          <w:t>PRO</w:t>
        </w:r>
        <w:r w:rsidR="003A5178" w:rsidRPr="004645D3">
          <w:rPr>
            <w:rStyle w:val="Hipervnculo"/>
            <w:rFonts w:ascii="Times New Roman" w:hAnsi="Times New Roman" w:cs="Times New Roman"/>
          </w:rPr>
          <w:t>CEDIMIENTO NOTARIAL</w:t>
        </w:r>
      </w:hyperlink>
      <w:r w:rsidRPr="003A5178">
        <w:rPr>
          <w:rFonts w:ascii="Times New Roman" w:hAnsi="Times New Roman" w:cs="Times New Roman"/>
        </w:rPr>
        <w:t>:</w:t>
      </w:r>
      <w:r w:rsidR="003A5178">
        <w:rPr>
          <w:rFonts w:ascii="Times New Roman" w:hAnsi="Times New Roman" w:cs="Times New Roman"/>
        </w:rPr>
        <w:t xml:space="preserve"> supuesto habitual, documentación para acreditar que no es gran tenedor, d</w:t>
      </w:r>
      <w:r w:rsidR="003A5178" w:rsidRPr="003A5178">
        <w:rPr>
          <w:rFonts w:ascii="Times New Roman" w:hAnsi="Times New Roman" w:cs="Times New Roman"/>
        </w:rPr>
        <w:t>ocumentación para acreditar que la contraprestación no es inferior al 70% del valor de tasación</w:t>
      </w:r>
      <w:r w:rsidR="003A5178">
        <w:rPr>
          <w:rFonts w:ascii="Times New Roman" w:hAnsi="Times New Roman" w:cs="Times New Roman"/>
        </w:rPr>
        <w:t>, modelos notariales</w:t>
      </w:r>
    </w:p>
    <w:p w14:paraId="7646BA85" w14:textId="2692DC65" w:rsidR="00F85F55" w:rsidRPr="003A5178" w:rsidRDefault="008D3377" w:rsidP="00F85F5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</w:rPr>
      </w:pPr>
      <w:hyperlink w:anchor="SANCIÓN" w:history="1">
        <w:r w:rsidRPr="00FA5685">
          <w:rPr>
            <w:rStyle w:val="Hipervnculo"/>
            <w:rFonts w:ascii="Times New Roman" w:hAnsi="Times New Roman" w:cs="Times New Roman"/>
          </w:rPr>
          <w:t>SANCIÓN</w:t>
        </w:r>
        <w:r w:rsidRPr="00FA5685">
          <w:rPr>
            <w:rStyle w:val="Hipervnculo"/>
            <w:rFonts w:ascii="Times New Roman" w:hAnsi="Times New Roman" w:cs="Times New Roman"/>
          </w:rPr>
          <w:t xml:space="preserve"> </w:t>
        </w:r>
        <w:r w:rsidRPr="00FA5685">
          <w:rPr>
            <w:rStyle w:val="Hipervnculo"/>
            <w:rFonts w:ascii="Times New Roman" w:hAnsi="Times New Roman" w:cs="Times New Roman"/>
          </w:rPr>
          <w:t>Y ACREDITACIÓN</w:t>
        </w:r>
      </w:hyperlink>
      <w:r w:rsidR="00F85F55" w:rsidRPr="003A5178">
        <w:rPr>
          <w:rFonts w:ascii="Times New Roman" w:hAnsi="Times New Roman" w:cs="Times New Roman"/>
        </w:rPr>
        <w:t xml:space="preserve">: </w:t>
      </w:r>
      <w:r w:rsidR="00172624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lase de ineficacia y sanciones</w:t>
      </w:r>
      <w:r w:rsidR="009555C0">
        <w:rPr>
          <w:rFonts w:ascii="Times New Roman" w:hAnsi="Times New Roman" w:cs="Times New Roman"/>
        </w:rPr>
        <w:t xml:space="preserve"> (notarios y registradores)</w:t>
      </w:r>
      <w:r>
        <w:rPr>
          <w:rFonts w:ascii="Times New Roman" w:hAnsi="Times New Roman" w:cs="Times New Roman"/>
        </w:rPr>
        <w:t>, certificación registral, certificación catastral sustitutiva o complementaria, manifestación sustitutiva</w:t>
      </w:r>
      <w:r w:rsidR="00A468F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condici</w:t>
      </w:r>
      <w:r w:rsidR="00AB1AB4">
        <w:rPr>
          <w:rFonts w:ascii="Times New Roman" w:hAnsi="Times New Roman" w:cs="Times New Roman"/>
        </w:rPr>
        <w:t>ones</w:t>
      </w:r>
      <w:r>
        <w:rPr>
          <w:rFonts w:ascii="Times New Roman" w:hAnsi="Times New Roman" w:cs="Times New Roman"/>
        </w:rPr>
        <w:t xml:space="preserve"> suspensiva</w:t>
      </w:r>
      <w:r w:rsidR="00AB1AB4">
        <w:rPr>
          <w:rFonts w:ascii="Times New Roman" w:hAnsi="Times New Roman" w:cs="Times New Roman"/>
        </w:rPr>
        <w:t>s de acreditación y de cumplimiento</w:t>
      </w:r>
    </w:p>
    <w:p w14:paraId="126E6493" w14:textId="2350D91A" w:rsidR="00F85F55" w:rsidRPr="003A5178" w:rsidRDefault="00172624" w:rsidP="00F85F55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</w:rPr>
      </w:pPr>
      <w:hyperlink w:anchor="NEGOCIOS" w:history="1">
        <w:r w:rsidRPr="00B23506">
          <w:rPr>
            <w:rStyle w:val="Hipervnculo"/>
            <w:rFonts w:ascii="Times New Roman" w:hAnsi="Times New Roman" w:cs="Times New Roman"/>
          </w:rPr>
          <w:t>NEGOCIOS DISCUTIDOS</w:t>
        </w:r>
      </w:hyperlink>
      <w:r w:rsidR="00F85F55" w:rsidRPr="003A5178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adquisición simultánea, adquisición mortis causa, aportaciones sociales, permutas, </w:t>
      </w:r>
      <w:r w:rsidR="00DB3CA0">
        <w:rPr>
          <w:rFonts w:ascii="Times New Roman" w:hAnsi="Times New Roman" w:cs="Times New Roman"/>
        </w:rPr>
        <w:t xml:space="preserve">transmisiones entre sociedades, nuda propiedad y usufructo, documentos privados con fecha fehaciente, </w:t>
      </w:r>
      <w:r w:rsidR="000812ED">
        <w:rPr>
          <w:rFonts w:ascii="Times New Roman" w:hAnsi="Times New Roman" w:cs="Times New Roman"/>
        </w:rPr>
        <w:t xml:space="preserve">participaciones indivisas, </w:t>
      </w:r>
      <w:r w:rsidR="00DB3CA0">
        <w:rPr>
          <w:rFonts w:ascii="Times New Roman" w:hAnsi="Times New Roman" w:cs="Times New Roman"/>
        </w:rPr>
        <w:t>precontratos y opciones</w:t>
      </w:r>
    </w:p>
    <w:p w14:paraId="5761A47B" w14:textId="0456ED2B" w:rsidR="00F85F55" w:rsidRPr="003A5178" w:rsidRDefault="00F85F55">
      <w:pPr>
        <w:rPr>
          <w:rFonts w:ascii="Times New Roman" w:hAnsi="Times New Roman" w:cs="Times New Roman"/>
        </w:rPr>
      </w:pPr>
      <w:r w:rsidRPr="003A5178">
        <w:rPr>
          <w:rFonts w:ascii="Times New Roman" w:hAnsi="Times New Roman" w:cs="Times New Roman"/>
        </w:rPr>
        <w:br w:type="page"/>
      </w:r>
    </w:p>
    <w:p w14:paraId="15D544FE" w14:textId="77777777" w:rsidR="000C6AAE" w:rsidRDefault="000C6AA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5810"/>
      </w:tblGrid>
      <w:tr w:rsidR="00FA04B7" w:rsidRPr="000E48AA" w14:paraId="59E03637" w14:textId="77777777" w:rsidTr="009D2F93">
        <w:trPr>
          <w:trHeight w:val="232"/>
          <w:jc w:val="center"/>
        </w:trPr>
        <w:tc>
          <w:tcPr>
            <w:tcW w:w="7488" w:type="dxa"/>
            <w:gridSpan w:val="2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CCCC"/>
          </w:tcPr>
          <w:p w14:paraId="684C803B" w14:textId="70E3347D" w:rsidR="00FA04B7" w:rsidRPr="00B93DCD" w:rsidRDefault="00BC188C" w:rsidP="00963114">
            <w:pPr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</w:pPr>
            <w:r w:rsidRPr="00B93D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 xml:space="preserve">1. </w:t>
            </w:r>
            <w:hyperlink r:id="rId8" w:history="1">
              <w:r w:rsidR="00105ED7" w:rsidRPr="00B93DCD">
                <w:rPr>
                  <w:rStyle w:val="Hipervnculo"/>
                  <w:rFonts w:ascii="Times New Roman" w:eastAsia="Times New Roman" w:hAnsi="Times New Roman" w:cs="Times New Roman"/>
                  <w:b/>
                  <w:sz w:val="24"/>
                  <w:szCs w:val="24"/>
                  <w:lang w:eastAsia="es-ES"/>
                </w:rPr>
                <w:t>ARTÍCULO 1 DL 29/2026</w:t>
              </w:r>
            </w:hyperlink>
            <w:r w:rsidR="00A34E58" w:rsidRPr="00B93DCD">
              <w:rPr>
                <w:sz w:val="24"/>
                <w:szCs w:val="24"/>
              </w:rPr>
              <w:t xml:space="preserve">. </w:t>
            </w:r>
            <w:bookmarkStart w:id="1" w:name="ANÁLISIS"/>
            <w:bookmarkEnd w:id="1"/>
            <w:r w:rsidR="00A34E58" w:rsidRPr="00B93DCD">
              <w:rPr>
                <w:rFonts w:ascii="Times New Roman" w:hAnsi="Times New Roman" w:cs="Times New Roman"/>
                <w:b/>
                <w:sz w:val="24"/>
                <w:szCs w:val="24"/>
              </w:rPr>
              <w:t>ANÁLISIS</w:t>
            </w:r>
          </w:p>
        </w:tc>
      </w:tr>
      <w:tr w:rsidR="00105ED7" w:rsidRPr="000E48AA" w14:paraId="03B52862" w14:textId="77777777" w:rsidTr="00AF11DD">
        <w:trPr>
          <w:trHeight w:val="269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131FA07C" w14:textId="77777777" w:rsidR="00105ED7" w:rsidRDefault="00105ED7" w:rsidP="0063290C">
            <w:pPr>
              <w:spacing w:before="2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A95E6A">
              <w:rPr>
                <w:rFonts w:ascii="Times New Roman" w:eastAsia="Times New Roman" w:hAnsi="Times New Roman" w:cs="Times New Roman"/>
                <w:b/>
                <w:lang w:eastAsia="es-ES"/>
              </w:rPr>
              <w:t>Vigor</w:t>
            </w:r>
          </w:p>
          <w:p w14:paraId="4BDBACD0" w14:textId="2759899E" w:rsidR="00A34E58" w:rsidRPr="00A34E58" w:rsidRDefault="00A34E58" w:rsidP="0063290C">
            <w:pPr>
              <w:spacing w:before="20" w:after="60" w:line="200" w:lineRule="exact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A34E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BOE 07/10/2026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6E90017" w14:textId="3FCD4CC4" w:rsidR="00105ED7" w:rsidRPr="00105ED7" w:rsidRDefault="00105ED7" w:rsidP="00105ED7">
            <w:pPr>
              <w:spacing w:before="60" w:after="20" w:line="200" w:lineRule="exact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lang w:eastAsia="es-ES"/>
              </w:rPr>
              <w:t>Entrada en vigor el jueves 08/10/2026</w:t>
            </w:r>
          </w:p>
        </w:tc>
      </w:tr>
      <w:tr w:rsidR="00105ED7" w:rsidRPr="000E48AA" w14:paraId="199704DB" w14:textId="77777777" w:rsidTr="00AF11DD">
        <w:trPr>
          <w:trHeight w:val="269"/>
          <w:jc w:val="center"/>
        </w:trPr>
        <w:tc>
          <w:tcPr>
            <w:tcW w:w="1678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9293EA" w14:textId="77777777" w:rsidR="00105ED7" w:rsidRDefault="00105ED7" w:rsidP="0063290C">
            <w:pPr>
              <w:spacing w:before="20" w:after="60" w:line="200" w:lineRule="exact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A41639B" w14:textId="6A09C0CF" w:rsidR="00105ED7" w:rsidRDefault="00105ED7" w:rsidP="00105ED7">
            <w:pPr>
              <w:spacing w:before="20" w:after="60" w:line="160" w:lineRule="exact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105ED7">
              <w:rPr>
                <w:rFonts w:ascii="Times New Roman" w:hAnsi="Times New Roman" w:cs="Times New Roman"/>
                <w:sz w:val="16"/>
                <w:szCs w:val="16"/>
              </w:rPr>
              <w:t xml:space="preserve">Sustituye al </w:t>
            </w:r>
            <w:hyperlink r:id="rId9" w:history="1">
              <w:r w:rsidRPr="00105ED7">
                <w:rPr>
                  <w:rStyle w:val="Hipervnculo"/>
                  <w:rFonts w:ascii="Times New Roman" w:eastAsia="Times New Roman" w:hAnsi="Times New Roman" w:cs="Times New Roman"/>
                  <w:b/>
                  <w:sz w:val="16"/>
                  <w:szCs w:val="16"/>
                  <w:lang w:eastAsia="es-ES"/>
                </w:rPr>
                <w:t>art. 1 DL 26/2026</w:t>
              </w:r>
            </w:hyperlink>
            <w:r w:rsidRPr="00105E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(BOE 30/09/2026, en vigor desde el 01/10/2026), que </w:t>
            </w:r>
            <w:hyperlink r:id="rId10" w:history="1">
              <w:r w:rsidRPr="00105ED7">
                <w:rPr>
                  <w:rStyle w:val="Hipervnculo"/>
                  <w:rFonts w:ascii="Times New Roman" w:eastAsia="Times New Roman" w:hAnsi="Times New Roman" w:cs="Times New Roman"/>
                  <w:sz w:val="16"/>
                  <w:szCs w:val="16"/>
                  <w:lang w:eastAsia="es-ES"/>
                </w:rPr>
                <w:t>fue derogado el 02/10/2026 al no ser convalidado por el Congreso</w:t>
              </w:r>
            </w:hyperlink>
          </w:p>
        </w:tc>
      </w:tr>
      <w:tr w:rsidR="007E7F3B" w:rsidRPr="000E48AA" w14:paraId="4B828FCA" w14:textId="77777777" w:rsidTr="00AF11DD">
        <w:trPr>
          <w:trHeight w:val="378"/>
          <w:jc w:val="center"/>
        </w:trPr>
        <w:tc>
          <w:tcPr>
            <w:tcW w:w="167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244F2B56" w14:textId="16176457" w:rsidR="007E7F3B" w:rsidRPr="007E7F3B" w:rsidRDefault="007E7F3B" w:rsidP="00A5209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7E7F3B">
              <w:rPr>
                <w:rFonts w:ascii="Times New Roman" w:eastAsia="Times New Roman" w:hAnsi="Times New Roman" w:cs="Times New Roman"/>
                <w:b/>
                <w:lang w:eastAsia="es-ES"/>
              </w:rPr>
              <w:t>Finalidad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C3E424F" w14:textId="55F738C8" w:rsidR="007E7F3B" w:rsidRPr="00553969" w:rsidRDefault="00553969" w:rsidP="00AF11DD">
            <w:pPr>
              <w:spacing w:before="60" w:after="6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539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Independientemente de la consideración que merezca la génesis de la norma y su formulación, s</w:t>
            </w:r>
            <w:r w:rsidR="007E7F3B" w:rsidRPr="005539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egún su propio epígrafe,</w:t>
            </w:r>
            <w:r w:rsidRPr="005539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la finalidad es la</w:t>
            </w:r>
            <w:r w:rsidR="007E7F3B" w:rsidRPr="005539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“</w:t>
            </w:r>
            <w:r w:rsidR="007E7F3B" w:rsidRPr="0055396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s-ES"/>
              </w:rPr>
              <w:t>protección del mercado de la vivienda frente a la actividad especulativa</w:t>
            </w:r>
            <w:r w:rsidR="007E7F3B" w:rsidRPr="005539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”</w:t>
            </w:r>
          </w:p>
        </w:tc>
      </w:tr>
      <w:tr w:rsidR="00DC42FC" w:rsidRPr="000E48AA" w14:paraId="07ED7F24" w14:textId="77777777" w:rsidTr="00AF11DD">
        <w:trPr>
          <w:trHeight w:val="105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4D55C88E" w14:textId="77777777" w:rsidR="00DC42FC" w:rsidRDefault="00DC42FC" w:rsidP="00DC42FC">
            <w:pPr>
              <w:spacing w:before="6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EB34B8">
              <w:rPr>
                <w:rFonts w:ascii="Times New Roman" w:eastAsia="Times New Roman" w:hAnsi="Times New Roman" w:cs="Times New Roman"/>
                <w:b/>
                <w:lang w:eastAsia="es-ES"/>
              </w:rPr>
              <w:t>Efectos</w:t>
            </w:r>
          </w:p>
          <w:p w14:paraId="04429266" w14:textId="12790225" w:rsidR="00DC42FC" w:rsidRPr="00AF11DD" w:rsidRDefault="00DC42FC" w:rsidP="00AF11DD">
            <w:pPr>
              <w:spacing w:before="60" w:after="60" w:line="16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AF11DD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DL 26/2026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:</w:t>
            </w:r>
            <w:r w:rsidRPr="00AF11DD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la limitación era hasta el 31/12/2028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464E0AF" w14:textId="77777777" w:rsidR="00112B97" w:rsidRPr="00112B97" w:rsidRDefault="00DC42FC" w:rsidP="00112B97">
            <w:pPr>
              <w:spacing w:before="60" w:after="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112B9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Limitación de ciertas adquisiciones hasta el 31/12/2030</w:t>
            </w:r>
            <w:r w:rsidR="00112B97" w:rsidRPr="00112B9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,</w:t>
            </w:r>
          </w:p>
          <w:p w14:paraId="08F707A8" w14:textId="100ED743" w:rsidR="00DC42FC" w:rsidRDefault="00112B97" w:rsidP="00112B97">
            <w:pPr>
              <w:spacing w:after="20" w:line="180" w:lineRule="exact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112B9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con excepciones en función del destino social</w:t>
            </w:r>
          </w:p>
        </w:tc>
      </w:tr>
      <w:tr w:rsidR="00DC42FC" w:rsidRPr="000E48AA" w14:paraId="1B86A941" w14:textId="77777777" w:rsidTr="00AF11DD">
        <w:trPr>
          <w:trHeight w:val="250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71ED1D74" w14:textId="77777777" w:rsidR="00DC42FC" w:rsidRPr="00EB34B8" w:rsidRDefault="00DC42FC" w:rsidP="00A5209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308FE666" w14:textId="73FAF92B" w:rsidR="00DC42FC" w:rsidRPr="00EB34B8" w:rsidRDefault="00DC42FC" w:rsidP="00AF3D25">
            <w:pPr>
              <w:spacing w:before="20" w:after="2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No afecta a la escritura otorgada antes y pendiente de inscripción, pero sin que pueda “</w:t>
            </w:r>
            <w:r w:rsidRPr="00DC42F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s-ES"/>
              </w:rPr>
              <w:t>ser modificada o ampliada mediante adenda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”</w:t>
            </w:r>
          </w:p>
        </w:tc>
      </w:tr>
      <w:tr w:rsidR="00D90A89" w:rsidRPr="000E48AA" w14:paraId="4946CCA8" w14:textId="77777777" w:rsidTr="00AF11DD">
        <w:trPr>
          <w:trHeight w:val="349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B269F38" w14:textId="77777777" w:rsidR="00D90A89" w:rsidRDefault="00D90A89" w:rsidP="00D90A89">
            <w:pPr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D90A89">
              <w:rPr>
                <w:rFonts w:ascii="Times New Roman" w:eastAsia="Times New Roman" w:hAnsi="Times New Roman" w:cs="Times New Roman"/>
                <w:b/>
                <w:lang w:eastAsia="es-ES"/>
              </w:rPr>
              <w:t>Adquirentes afectados</w:t>
            </w:r>
            <w:r>
              <w:rPr>
                <w:rFonts w:ascii="Times New Roman" w:eastAsia="Times New Roman" w:hAnsi="Times New Roman" w:cs="Times New Roman"/>
                <w:b/>
                <w:lang w:eastAsia="es-ES"/>
              </w:rPr>
              <w:t xml:space="preserve"> 1</w:t>
            </w:r>
            <w:r w:rsidRPr="00D90A89">
              <w:rPr>
                <w:rFonts w:ascii="Times New Roman" w:eastAsia="Times New Roman" w:hAnsi="Times New Roman" w:cs="Times New Roman"/>
                <w:b/>
                <w:lang w:eastAsia="es-ES"/>
              </w:rPr>
              <w:t xml:space="preserve">: </w:t>
            </w:r>
          </w:p>
          <w:p w14:paraId="55B70600" w14:textId="77777777" w:rsidR="00D90A89" w:rsidRDefault="00D90A89" w:rsidP="00184D97">
            <w:pPr>
              <w:spacing w:after="40" w:line="180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</w:pPr>
            <w:r w:rsidRPr="00AF11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  <w:t>fondos buitres</w:t>
            </w:r>
          </w:p>
          <w:p w14:paraId="73AB4F4C" w14:textId="11AEA42E" w:rsidR="00DC42FC" w:rsidRPr="00DC42FC" w:rsidRDefault="00DC42FC" w:rsidP="00DC42FC">
            <w:pPr>
              <w:spacing w:after="60" w:line="16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DC42F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DL 26/2026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:</w:t>
            </w:r>
            <w:r w:rsidRPr="00DC42F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“</w:t>
            </w:r>
            <w:r w:rsidRPr="00DC42F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 xml:space="preserve">toda entidad con o sin personalidad jurídica, que incluya en su objeto social la adquisición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 xml:space="preserve">de </w:t>
            </w:r>
            <w:r w:rsidRPr="00DC42F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ES"/>
              </w:rPr>
              <w:t>inmuebles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”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E0DFA44" w14:textId="6B14CD65" w:rsidR="00D90A89" w:rsidRPr="00F85F55" w:rsidRDefault="00D90A89" w:rsidP="00F85F55">
            <w:pPr>
              <w:spacing w:before="60" w:after="2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85F55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“</w:t>
            </w:r>
            <w:r w:rsidRPr="00F85F5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ES"/>
              </w:rPr>
              <w:t>toda entidad con o sin personalidad jurídica dedicada a adquirir inmuebles o carteras de préstamo hipotecarios impagados por un precio claramente inferior a su valor de tasación de mercado</w:t>
            </w:r>
            <w:r w:rsidRPr="00F85F55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”</w:t>
            </w:r>
          </w:p>
        </w:tc>
      </w:tr>
      <w:tr w:rsidR="00D90A89" w:rsidRPr="000E48AA" w14:paraId="3C5C19CA" w14:textId="77777777" w:rsidTr="00AF11DD">
        <w:trPr>
          <w:trHeight w:val="348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10E77220" w14:textId="77777777" w:rsidR="00D90A89" w:rsidRPr="00D90A89" w:rsidRDefault="00D90A89" w:rsidP="00D90A89">
            <w:pPr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left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1A11EA74" w14:textId="141FCBC4" w:rsidR="00D90A89" w:rsidRPr="004046A6" w:rsidRDefault="005D37BA" w:rsidP="0091716F">
            <w:pPr>
              <w:spacing w:before="20" w:after="20" w:line="1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4046A6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Parece referirse a los llamados “fondos buitres”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: sociedades de capital riesgo, fondos de inversión alternativa, fondos de titulización de activos, sociedades de gestión de activos, etc.</w:t>
            </w:r>
          </w:p>
        </w:tc>
      </w:tr>
      <w:tr w:rsidR="00D90A89" w:rsidRPr="000E48AA" w14:paraId="354C3791" w14:textId="77777777" w:rsidTr="00AF11DD">
        <w:trPr>
          <w:trHeight w:val="348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4563652" w14:textId="77777777" w:rsidR="00D90A89" w:rsidRPr="00D90A89" w:rsidRDefault="00D90A89" w:rsidP="00D90A89">
            <w:pPr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left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A6EBCC1" w14:textId="6C8D5596" w:rsidR="00D90A89" w:rsidRPr="004046A6" w:rsidRDefault="005D37BA" w:rsidP="0091716F">
            <w:pPr>
              <w:spacing w:before="40" w:after="60" w:line="16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Parece que se excluyen las SOCIMI, que no responden a una estrategia especulativa, sino que son una estructura societaria-fiscal para la gestión a largo plazo de rentas de alquiler</w:t>
            </w:r>
            <w:r w:rsidR="00E86B6D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(salvo que la limitación pudiere serles de aplicación por su otra condición de gran tenedor)</w:t>
            </w:r>
          </w:p>
        </w:tc>
      </w:tr>
      <w:tr w:rsidR="00BF25B3" w:rsidRPr="000E48AA" w14:paraId="5797EEF3" w14:textId="77777777" w:rsidTr="00AF11DD">
        <w:trPr>
          <w:trHeight w:val="201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788677B7" w14:textId="77777777" w:rsidR="00BF25B3" w:rsidRDefault="00BF25B3" w:rsidP="00184D97">
            <w:pPr>
              <w:spacing w:before="60" w:after="60" w:line="180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</w:pPr>
            <w:r w:rsidRPr="00D90A89">
              <w:rPr>
                <w:rFonts w:ascii="Times New Roman" w:eastAsia="Times New Roman" w:hAnsi="Times New Roman" w:cs="Times New Roman"/>
                <w:b/>
                <w:lang w:eastAsia="es-ES"/>
              </w:rPr>
              <w:t>Adquirentes afectados</w:t>
            </w:r>
            <w:r>
              <w:rPr>
                <w:rFonts w:ascii="Times New Roman" w:eastAsia="Times New Roman" w:hAnsi="Times New Roman" w:cs="Times New Roman"/>
                <w:b/>
                <w:lang w:eastAsia="es-ES"/>
              </w:rPr>
              <w:t xml:space="preserve"> 2</w:t>
            </w:r>
            <w:r w:rsidRPr="00D90A89">
              <w:rPr>
                <w:rFonts w:ascii="Times New Roman" w:eastAsia="Times New Roman" w:hAnsi="Times New Roman" w:cs="Times New Roman"/>
                <w:b/>
                <w:lang w:eastAsia="es-ES"/>
              </w:rPr>
              <w:t xml:space="preserve">: </w:t>
            </w:r>
            <w:r w:rsidRPr="00AF11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  <w:t>grandes tenedores</w:t>
            </w:r>
          </w:p>
          <w:p w14:paraId="28444239" w14:textId="7C610FDB" w:rsidR="00AF11DD" w:rsidRPr="00AF11DD" w:rsidRDefault="00AF11DD" w:rsidP="00AF11DD">
            <w:pPr>
              <w:spacing w:before="60" w:after="60" w:line="16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AF11DD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DL 26/2026</w:t>
            </w:r>
            <w:r w:rsidR="00DC42F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:</w:t>
            </w:r>
            <w:r w:rsidRPr="00AF11DD">
              <w:rPr>
                <w:rFonts w:ascii="Times New Roman" w:hAnsi="Times New Roman" w:cs="Times New Roman"/>
                <w:sz w:val="16"/>
                <w:szCs w:val="16"/>
              </w:rPr>
              <w:t xml:space="preserve"> n</w:t>
            </w:r>
            <w:r w:rsidRPr="00AF11DD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o hacía referencia a “grandes tenedores”</w:t>
            </w:r>
          </w:p>
          <w:p w14:paraId="1FAFA431" w14:textId="6B3183A1" w:rsidR="00AF11DD" w:rsidRPr="004046A6" w:rsidRDefault="00AF11DD" w:rsidP="004046A6">
            <w:pPr>
              <w:spacing w:before="60" w:after="6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03AB754" w14:textId="2D9294A9" w:rsidR="00BF25B3" w:rsidRPr="00F85F55" w:rsidRDefault="00BF25B3" w:rsidP="00F85F55">
            <w:pPr>
              <w:spacing w:before="60" w:after="2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85F55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“</w:t>
            </w:r>
            <w:r w:rsidRPr="00F85F5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ES"/>
              </w:rPr>
              <w:t>personas jurídicas que ostenten la condición de gran tenedor conforme a la legislación estatal de vivienda o las entidades integradas en su mismo grupo o que actúen por su cuenta</w:t>
            </w:r>
            <w:r w:rsidRPr="00F85F55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”</w:t>
            </w:r>
          </w:p>
        </w:tc>
      </w:tr>
      <w:tr w:rsidR="00BF25B3" w:rsidRPr="000E48AA" w14:paraId="6977D8ED" w14:textId="77777777" w:rsidTr="00AF11DD">
        <w:trPr>
          <w:trHeight w:val="200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490D3913" w14:textId="77777777" w:rsidR="00BF25B3" w:rsidRPr="00D90A89" w:rsidRDefault="00BF25B3" w:rsidP="004046A6">
            <w:pPr>
              <w:spacing w:before="60" w:after="60" w:line="18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1B5365DF" w14:textId="5432517A" w:rsidR="00BF25B3" w:rsidRPr="001D4CA6" w:rsidRDefault="000517F1" w:rsidP="000517F1">
            <w:pPr>
              <w:spacing w:before="20" w:after="2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1D4CA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Según el </w:t>
            </w:r>
            <w:hyperlink r:id="rId11" w:anchor="a3" w:history="1">
              <w:r w:rsidRPr="00303B2C">
                <w:rPr>
                  <w:rStyle w:val="Hipervnculo"/>
                  <w:rFonts w:ascii="Times New Roman" w:eastAsia="Times New Roman" w:hAnsi="Times New Roman" w:cs="Times New Roman"/>
                  <w:sz w:val="20"/>
                  <w:szCs w:val="20"/>
                  <w:lang w:eastAsia="es-ES"/>
                </w:rPr>
                <w:t>art. 3-k de la Ley 12/2023</w:t>
              </w:r>
            </w:hyperlink>
            <w:r w:rsidRPr="001D4CA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(modificada por el art. 4 del DL 29/2026) gran tenedor es la persona física o jurídica titular de más de 10 inmuebles</w:t>
            </w:r>
            <w:r w:rsidR="005F5F4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urbanos</w:t>
            </w:r>
            <w:r w:rsidRPr="001D4CA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de uso residencial (haya o no división horizontal y reducibles hasta 5 en zonas tensionadas) o con superficie construida de más de 1.500 m2, sin contar garajes y trasteros</w:t>
            </w:r>
          </w:p>
        </w:tc>
      </w:tr>
      <w:tr w:rsidR="00917C5A" w:rsidRPr="000E48AA" w14:paraId="5B46CFB2" w14:textId="77777777" w:rsidTr="00AF11DD">
        <w:trPr>
          <w:trHeight w:val="200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60EDF277" w14:textId="77777777" w:rsidR="00917C5A" w:rsidRPr="00D90A89" w:rsidRDefault="00917C5A" w:rsidP="004046A6">
            <w:pPr>
              <w:spacing w:before="60" w:after="60" w:line="18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237BB120" w14:textId="1CEBFB4C" w:rsidR="00917C5A" w:rsidRPr="00F2734B" w:rsidRDefault="00917C5A" w:rsidP="001C0084">
            <w:pPr>
              <w:spacing w:before="40" w:after="2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2734B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Al ser legislación estatal [independiente de la autonómica a efectos fiscales o de retractos] cuentan todas las viviendas en España, pero no las situadas en el extranjero</w:t>
            </w:r>
          </w:p>
        </w:tc>
      </w:tr>
      <w:tr w:rsidR="00BF25B3" w:rsidRPr="000E48AA" w14:paraId="7F346A96" w14:textId="77777777" w:rsidTr="00AF11DD">
        <w:trPr>
          <w:trHeight w:val="200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35C9EFCA" w14:textId="77777777" w:rsidR="00BF25B3" w:rsidRPr="00D90A89" w:rsidRDefault="00BF25B3" w:rsidP="004046A6">
            <w:pPr>
              <w:spacing w:before="60" w:after="60" w:line="18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left w:val="single" w:sz="1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8193CD6" w14:textId="77777777" w:rsidR="00BF25B3" w:rsidRDefault="000517F1" w:rsidP="001C0084">
            <w:pPr>
              <w:spacing w:before="60" w:after="0" w:line="180" w:lineRule="exact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91716F">
              <w:rPr>
                <w:rFonts w:ascii="Times New Roman" w:eastAsia="Times New Roman" w:hAnsi="Times New Roman" w:cs="Times New Roman"/>
                <w:lang w:eastAsia="es-ES"/>
              </w:rPr>
              <w:t>“</w:t>
            </w:r>
            <w:r w:rsidRPr="0091716F">
              <w:rPr>
                <w:rFonts w:ascii="Times New Roman" w:eastAsia="Times New Roman" w:hAnsi="Times New Roman" w:cs="Times New Roman"/>
                <w:i/>
                <w:iCs/>
                <w:lang w:eastAsia="es-ES"/>
              </w:rPr>
              <w:t>Dicha condición</w:t>
            </w:r>
            <w:r w:rsidRPr="0091716F">
              <w:rPr>
                <w:rFonts w:ascii="Times New Roman" w:eastAsia="Times New Roman" w:hAnsi="Times New Roman" w:cs="Times New Roman"/>
                <w:lang w:eastAsia="es-ES"/>
              </w:rPr>
              <w:t xml:space="preserve"> [de gran tenedor] </w:t>
            </w:r>
            <w:r w:rsidRPr="0091716F">
              <w:rPr>
                <w:rFonts w:ascii="Times New Roman" w:eastAsia="Times New Roman" w:hAnsi="Times New Roman" w:cs="Times New Roman"/>
                <w:i/>
                <w:iCs/>
                <w:lang w:eastAsia="es-ES"/>
              </w:rPr>
              <w:t>se deberá acreditar mediante certificación del Registro de la Propiedad en el que consten la relación de propiedades a su nombre</w:t>
            </w:r>
            <w:r w:rsidRPr="0091716F">
              <w:rPr>
                <w:rFonts w:ascii="Times New Roman" w:eastAsia="Times New Roman" w:hAnsi="Times New Roman" w:cs="Times New Roman"/>
                <w:lang w:eastAsia="es-ES"/>
              </w:rPr>
              <w:t>”</w:t>
            </w:r>
          </w:p>
          <w:p w14:paraId="1F00DD3F" w14:textId="26D1B26B" w:rsidR="001C0084" w:rsidRPr="0091716F" w:rsidRDefault="001C0084" w:rsidP="001C0084">
            <w:pPr>
              <w:spacing w:after="60" w:line="180" w:lineRule="exact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1C0084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Ver APARTADO </w:t>
            </w:r>
            <w:r w:rsidR="003A5178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</w:tr>
      <w:tr w:rsidR="00EF1292" w:rsidRPr="000E48AA" w14:paraId="49A3F515" w14:textId="77777777" w:rsidTr="009956B5">
        <w:trPr>
          <w:trHeight w:val="134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7834975C" w14:textId="23E0074C" w:rsidR="00EF1292" w:rsidRPr="00E56DD1" w:rsidRDefault="00EF1292" w:rsidP="00F45B3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E56DD1">
              <w:rPr>
                <w:rFonts w:ascii="Times New Roman" w:eastAsia="Times New Roman" w:hAnsi="Times New Roman" w:cs="Times New Roman"/>
                <w:b/>
                <w:lang w:eastAsia="es-ES"/>
              </w:rPr>
              <w:t>Objeto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149F9857" w14:textId="7B3D5103" w:rsidR="00EF1292" w:rsidRPr="00E56DD1" w:rsidRDefault="00EF1292" w:rsidP="009956B5">
            <w:pPr>
              <w:spacing w:before="60" w:after="20" w:line="200" w:lineRule="exact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E56DD1">
              <w:rPr>
                <w:rFonts w:ascii="Times New Roman" w:eastAsia="Times New Roman" w:hAnsi="Times New Roman" w:cs="Times New Roman"/>
                <w:lang w:eastAsia="es-ES"/>
              </w:rPr>
              <w:t>“</w:t>
            </w:r>
            <w:r w:rsidRPr="00E56DD1">
              <w:rPr>
                <w:rFonts w:ascii="Times New Roman" w:eastAsia="Times New Roman" w:hAnsi="Times New Roman" w:cs="Times New Roman"/>
                <w:i/>
                <w:iCs/>
                <w:lang w:eastAsia="es-ES"/>
              </w:rPr>
              <w:t>viviendas en estado de uso</w:t>
            </w:r>
            <w:r w:rsidRPr="00E56DD1">
              <w:rPr>
                <w:rFonts w:ascii="Times New Roman" w:eastAsia="Times New Roman" w:hAnsi="Times New Roman" w:cs="Times New Roman"/>
                <w:lang w:eastAsia="es-ES"/>
              </w:rPr>
              <w:t>”</w:t>
            </w:r>
          </w:p>
        </w:tc>
      </w:tr>
      <w:tr w:rsidR="00EF1292" w:rsidRPr="000E48AA" w14:paraId="686905B4" w14:textId="77777777" w:rsidTr="00EF1292">
        <w:trPr>
          <w:trHeight w:val="482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4B45A81" w14:textId="77777777" w:rsidR="00EF1292" w:rsidRPr="00E56DD1" w:rsidRDefault="00EF1292" w:rsidP="00F45B3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600D145" w14:textId="5B2F6AB5" w:rsidR="00EF1292" w:rsidRPr="009956B5" w:rsidRDefault="009956B5" w:rsidP="00F34EF2">
            <w:pPr>
              <w:spacing w:before="60" w:after="40" w:line="16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9956B5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También </w:t>
            </w:r>
            <w:r w:rsidR="00EF1292" w:rsidRPr="009956B5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“</w:t>
            </w:r>
            <w:r w:rsidR="00EF1292" w:rsidRPr="009956B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s-ES"/>
              </w:rPr>
              <w:t>viviendas de edificios construidos sobre suelo de calificación residencial que cumplan los requisitos para obtener la cédula de habitabilidad, desde que dispongan de certificado de fin de obra</w:t>
            </w:r>
            <w:r w:rsidR="00EF1292" w:rsidRPr="009956B5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”</w:t>
            </w:r>
          </w:p>
        </w:tc>
      </w:tr>
      <w:tr w:rsidR="00EF1292" w:rsidRPr="000E48AA" w14:paraId="497CA1D8" w14:textId="77777777" w:rsidTr="00AF11DD">
        <w:trPr>
          <w:trHeight w:val="532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2D9A258" w14:textId="77777777" w:rsidR="00EF1292" w:rsidRPr="00E56DD1" w:rsidRDefault="00EF1292" w:rsidP="00F45B3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5FA59411" w14:textId="44FB9C37" w:rsidR="00EF1292" w:rsidRPr="0091716F" w:rsidRDefault="00EF1292" w:rsidP="009956B5">
            <w:pPr>
              <w:spacing w:before="40" w:after="0" w:line="18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1716F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¿Se refiere a viviendas “susceptibles de uso” o sólo a las viviendas “en uso efectivo por un tercero [normalmente un arrendatario]?</w:t>
            </w:r>
          </w:p>
          <w:p w14:paraId="6235EAC6" w14:textId="6E2E4330" w:rsidR="00EF1292" w:rsidRPr="00E56DD1" w:rsidRDefault="00EF1292" w:rsidP="009956B5">
            <w:pPr>
              <w:spacing w:after="20" w:line="180" w:lineRule="exact"/>
              <w:jc w:val="both"/>
              <w:rPr>
                <w:rFonts w:ascii="Times New Roman" w:eastAsia="Times New Roman" w:hAnsi="Times New Roman" w:cs="Times New Roman"/>
                <w:lang w:eastAsia="es-ES"/>
              </w:rPr>
            </w:pPr>
            <w:r w:rsidRPr="0091716F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Parece que a toda vivienda apta para el uso, pues en otro caso bastaría con la expresión “en uso” y así resulta del segundo supuesto referido a viviendas con certificado de fin de obra pero pendientes de cédula de habitabilidad, las cuales no deberían estar en uso efectivo.</w:t>
            </w:r>
          </w:p>
        </w:tc>
      </w:tr>
      <w:tr w:rsidR="00EF1292" w:rsidRPr="000E48AA" w14:paraId="2D140E1D" w14:textId="77777777" w:rsidTr="00AF11DD">
        <w:trPr>
          <w:trHeight w:val="532"/>
          <w:jc w:val="center"/>
        </w:trPr>
        <w:tc>
          <w:tcPr>
            <w:tcW w:w="1678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4C770FA5" w14:textId="77777777" w:rsidR="00EF1292" w:rsidRPr="00E56DD1" w:rsidRDefault="00EF1292" w:rsidP="00F45B3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EA00CB4" w14:textId="6A4EE9D9" w:rsidR="00EF1292" w:rsidRPr="0091716F" w:rsidRDefault="00EF1292" w:rsidP="009956B5">
            <w:pPr>
              <w:spacing w:before="40" w:after="60" w:line="18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En consecuencia</w:t>
            </w:r>
            <w:r w:rsidRPr="0091716F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, caso de adquisición de viviendas ruinosas para su rehabilitación o demolición/construcción, bastará con que así se declare por las partes en la escritura de compraventa</w:t>
            </w:r>
            <w:r w:rsidR="009956B5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.</w:t>
            </w:r>
          </w:p>
        </w:tc>
      </w:tr>
      <w:tr w:rsidR="0091716F" w:rsidRPr="000E48AA" w14:paraId="6F4AC1AA" w14:textId="77777777" w:rsidTr="00633D67">
        <w:trPr>
          <w:trHeight w:val="362"/>
          <w:jc w:val="center"/>
        </w:trPr>
        <w:tc>
          <w:tcPr>
            <w:tcW w:w="1678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8C72B6" w14:textId="5D403040" w:rsidR="0091716F" w:rsidRPr="00E56DD1" w:rsidRDefault="0091716F" w:rsidP="00F45B3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361641">
              <w:rPr>
                <w:rFonts w:ascii="Times New Roman" w:eastAsia="Times New Roman" w:hAnsi="Times New Roman" w:cs="Times New Roman"/>
                <w:b/>
                <w:lang w:eastAsia="es-ES"/>
              </w:rPr>
              <w:t>Tipos de adquisición</w:t>
            </w:r>
          </w:p>
        </w:tc>
        <w:tc>
          <w:tcPr>
            <w:tcW w:w="5810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73EBFEE" w14:textId="77777777" w:rsidR="0091716F" w:rsidRDefault="0091716F" w:rsidP="003A5178">
            <w:pPr>
              <w:spacing w:before="60" w:after="0" w:line="1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1716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Onerosas o gratuitas</w:t>
            </w:r>
          </w:p>
          <w:p w14:paraId="49196BD6" w14:textId="73628859" w:rsidR="001C0084" w:rsidRPr="001C0084" w:rsidRDefault="001C0084" w:rsidP="00633D67">
            <w:pPr>
              <w:spacing w:before="20" w:after="40" w:line="16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084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Ver APARTADO </w:t>
            </w:r>
            <w:r w:rsidR="003A5178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</w:tr>
      <w:tr w:rsidR="00D33EA1" w:rsidRPr="000E48AA" w14:paraId="340D8003" w14:textId="77777777" w:rsidTr="0091716F">
        <w:trPr>
          <w:trHeight w:val="201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769C6592" w14:textId="4731C27A" w:rsidR="00D33EA1" w:rsidRDefault="003A5178" w:rsidP="00F45B3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  <w:t>Excepción de la c</w:t>
            </w:r>
            <w:r w:rsidR="00D33EA1" w:rsidRPr="00AF11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  <w:t>ontraprestación</w:t>
            </w:r>
          </w:p>
          <w:p w14:paraId="06ABE76A" w14:textId="2576AB48" w:rsidR="00DC42FC" w:rsidRPr="00DC42FC" w:rsidRDefault="00DC42FC" w:rsidP="00DC42FC">
            <w:pPr>
              <w:spacing w:before="60" w:after="60" w:line="18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DC42FC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[se entiende en las adquisiciones onerosas]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BD98D46" w14:textId="36DA2D12" w:rsidR="00D33EA1" w:rsidRPr="00DC42FC" w:rsidRDefault="00D33EA1" w:rsidP="003755A6">
            <w:pPr>
              <w:spacing w:before="60" w:after="20" w:line="200" w:lineRule="exact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DC42FC">
              <w:rPr>
                <w:rFonts w:ascii="Times New Roman" w:eastAsia="Times New Roman" w:hAnsi="Times New Roman" w:cs="Times New Roman"/>
                <w:lang w:eastAsia="es-ES"/>
              </w:rPr>
              <w:t>La limitación afecta a las adquisiciones</w:t>
            </w:r>
            <w:r w:rsidR="00444B12" w:rsidRPr="00DC42FC">
              <w:rPr>
                <w:rFonts w:ascii="Times New Roman" w:eastAsia="Times New Roman" w:hAnsi="Times New Roman" w:cs="Times New Roman"/>
                <w:lang w:eastAsia="es-ES"/>
              </w:rPr>
              <w:t xml:space="preserve"> </w:t>
            </w:r>
            <w:r w:rsidRPr="00DC42FC">
              <w:rPr>
                <w:rFonts w:ascii="Times New Roman" w:eastAsia="Times New Roman" w:hAnsi="Times New Roman" w:cs="Times New Roman"/>
                <w:lang w:eastAsia="es-ES"/>
              </w:rPr>
              <w:t xml:space="preserve"> “</w:t>
            </w:r>
            <w:r w:rsidRPr="00DC42FC">
              <w:rPr>
                <w:rFonts w:ascii="Times New Roman" w:eastAsia="Times New Roman" w:hAnsi="Times New Roman" w:cs="Times New Roman"/>
                <w:i/>
                <w:iCs/>
                <w:lang w:eastAsia="es-ES"/>
              </w:rPr>
              <w:t xml:space="preserve">por un valor de contraprestación inferior al </w:t>
            </w:r>
            <w:r w:rsidRPr="00DC42FC">
              <w:rPr>
                <w:rFonts w:ascii="Times New Roman" w:eastAsia="Times New Roman" w:hAnsi="Times New Roman" w:cs="Times New Roman"/>
                <w:lang w:eastAsia="es-ES"/>
              </w:rPr>
              <w:t xml:space="preserve">70% </w:t>
            </w:r>
            <w:r w:rsidRPr="00DC42FC">
              <w:rPr>
                <w:rFonts w:ascii="Times New Roman" w:eastAsia="Times New Roman" w:hAnsi="Times New Roman" w:cs="Times New Roman"/>
                <w:i/>
                <w:iCs/>
                <w:lang w:eastAsia="es-ES"/>
              </w:rPr>
              <w:t>de su valor de mercado</w:t>
            </w:r>
            <w:r w:rsidRPr="00DC42FC">
              <w:rPr>
                <w:rFonts w:ascii="Times New Roman" w:eastAsia="Times New Roman" w:hAnsi="Times New Roman" w:cs="Times New Roman"/>
                <w:lang w:eastAsia="es-ES"/>
              </w:rPr>
              <w:t>”</w:t>
            </w:r>
          </w:p>
        </w:tc>
      </w:tr>
      <w:tr w:rsidR="00D33EA1" w:rsidRPr="000E48AA" w14:paraId="54A1F330" w14:textId="77777777" w:rsidTr="0091716F">
        <w:trPr>
          <w:trHeight w:val="351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1B3FB59D" w14:textId="77777777" w:rsidR="00D33EA1" w:rsidRPr="003C001A" w:rsidRDefault="00D33EA1" w:rsidP="00F45B3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762716C8" w14:textId="3A7F3CFE" w:rsidR="00D33EA1" w:rsidRPr="00853F48" w:rsidRDefault="00D33EA1" w:rsidP="00855D2A">
            <w:pPr>
              <w:spacing w:before="20" w:after="4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853F48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La valoración de la contraprestación incluye “</w:t>
            </w:r>
            <w:r w:rsidRPr="0085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ES"/>
              </w:rPr>
              <w:t>deudas asumidas, prestaciones accesorias, y ventajas patrimoniales satisfechas o comprometidas por el adquirente o por personas vinculadas a este como consecuencia directa o indirecta de la transmisión</w:t>
            </w:r>
            <w:r w:rsidRPr="00853F48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”</w:t>
            </w:r>
          </w:p>
        </w:tc>
      </w:tr>
      <w:tr w:rsidR="00D33EA1" w:rsidRPr="000E48AA" w14:paraId="2F1530CF" w14:textId="77777777" w:rsidTr="0091716F">
        <w:trPr>
          <w:trHeight w:val="350"/>
          <w:jc w:val="center"/>
        </w:trPr>
        <w:tc>
          <w:tcPr>
            <w:tcW w:w="1678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EA04DE6" w14:textId="77777777" w:rsidR="00D33EA1" w:rsidRPr="003C001A" w:rsidRDefault="00D33EA1" w:rsidP="00F45B3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16D972C8" w14:textId="73C1AA7C" w:rsidR="00D33EA1" w:rsidRPr="00853F48" w:rsidRDefault="00D33EA1" w:rsidP="00F85F55">
            <w:pPr>
              <w:spacing w:before="20" w:after="6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853F48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El valor de mercado se determina “</w:t>
            </w:r>
            <w:r w:rsidRPr="0085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ES"/>
              </w:rPr>
              <w:t>a la fecha del acuerdo vinculante</w:t>
            </w:r>
            <w:r w:rsidRPr="00853F48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[no a la inscripción], </w:t>
            </w:r>
            <w:r w:rsidRPr="0085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ES"/>
              </w:rPr>
              <w:t>por una sociedad de tasación homologada e inscrita en el Banco de España, independiente de las partes, que emitirá un informe que deberá aportar la parte compradora</w:t>
            </w:r>
            <w:r w:rsidRPr="00853F48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[sic]”.</w:t>
            </w:r>
          </w:p>
        </w:tc>
      </w:tr>
    </w:tbl>
    <w:p w14:paraId="12767C19" w14:textId="77777777" w:rsidR="00184D97" w:rsidRDefault="00184D97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5810"/>
      </w:tblGrid>
      <w:tr w:rsidR="00797A56" w:rsidRPr="000E48AA" w14:paraId="7F0BFD8C" w14:textId="77777777" w:rsidTr="00447512">
        <w:trPr>
          <w:trHeight w:val="232"/>
          <w:jc w:val="center"/>
        </w:trPr>
        <w:tc>
          <w:tcPr>
            <w:tcW w:w="7488" w:type="dxa"/>
            <w:gridSpan w:val="2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CCCC"/>
          </w:tcPr>
          <w:p w14:paraId="65155934" w14:textId="57BDBF5C" w:rsidR="00797A56" w:rsidRPr="00B93DCD" w:rsidRDefault="00BC188C" w:rsidP="00447512">
            <w:pPr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</w:pPr>
            <w:r w:rsidRPr="00B93D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lastRenderedPageBreak/>
              <w:t xml:space="preserve">2. </w:t>
            </w:r>
            <w:hyperlink r:id="rId12" w:history="1">
              <w:r w:rsidR="00797A56" w:rsidRPr="00B93DCD">
                <w:rPr>
                  <w:rStyle w:val="Hipervnculo"/>
                  <w:rFonts w:ascii="Times New Roman" w:eastAsia="Times New Roman" w:hAnsi="Times New Roman" w:cs="Times New Roman"/>
                  <w:b/>
                  <w:sz w:val="24"/>
                  <w:szCs w:val="24"/>
                  <w:lang w:eastAsia="es-ES"/>
                </w:rPr>
                <w:t>ARTÍCULO 1 DL 29/2026</w:t>
              </w:r>
            </w:hyperlink>
            <w:r w:rsidR="00A34E58" w:rsidRPr="00B93D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 xml:space="preserve">. </w:t>
            </w:r>
            <w:bookmarkStart w:id="2" w:name="PROCEDIMIENTO"/>
            <w:bookmarkEnd w:id="2"/>
            <w:r w:rsidR="00A34E58" w:rsidRPr="00B93D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>PROCEDIMIENTO NOTARIAL</w:t>
            </w:r>
          </w:p>
        </w:tc>
      </w:tr>
      <w:tr w:rsidR="006439ED" w:rsidRPr="000E48AA" w14:paraId="6DDB0E76" w14:textId="77777777" w:rsidTr="006439ED">
        <w:trPr>
          <w:trHeight w:val="501"/>
          <w:jc w:val="center"/>
        </w:trPr>
        <w:tc>
          <w:tcPr>
            <w:tcW w:w="1678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0A0AE603" w14:textId="64B43C00" w:rsidR="006439ED" w:rsidRPr="00A95E6A" w:rsidRDefault="006439ED" w:rsidP="00797A56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s-ES"/>
              </w:rPr>
              <w:t>Supuesto habitual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DE73156" w14:textId="5775C466" w:rsidR="006439ED" w:rsidRPr="00794877" w:rsidRDefault="006439ED" w:rsidP="00794877">
            <w:pPr>
              <w:spacing w:before="60" w:after="0" w:line="1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794877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Prescindiendo de adquisiciones por “fondos buitres”, el supuesto que normalmente se planteará es la adquisición de una vivienda por una sociedad.</w:t>
            </w:r>
          </w:p>
          <w:p w14:paraId="36DD1059" w14:textId="19CA0BF1" w:rsidR="006439ED" w:rsidRPr="00794877" w:rsidRDefault="006439ED" w:rsidP="00794877">
            <w:pPr>
              <w:spacing w:after="0" w:line="1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7670A4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s-ES"/>
              </w:rPr>
              <w:t xml:space="preserve">Habrá que determinar si </w:t>
            </w:r>
            <w:r w:rsidR="00E8097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s-ES"/>
              </w:rPr>
              <w:t xml:space="preserve">no </w:t>
            </w:r>
            <w:r w:rsidRPr="007670A4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s-ES"/>
              </w:rPr>
              <w:t xml:space="preserve">se </w:t>
            </w:r>
            <w:r w:rsidR="00E6603A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s-ES"/>
              </w:rPr>
              <w:t xml:space="preserve">dan </w:t>
            </w:r>
            <w:r w:rsidRPr="00BC188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s-ES"/>
              </w:rPr>
              <w:t>est</w:t>
            </w:r>
            <w:r w:rsidR="00D260A4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s-ES"/>
              </w:rPr>
              <w:t>as</w:t>
            </w:r>
            <w:r w:rsidRPr="00BC188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s-ES"/>
              </w:rPr>
              <w:t xml:space="preserve"> dos</w:t>
            </w:r>
            <w:r w:rsidR="00D260A4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s-ES"/>
              </w:rPr>
              <w:t xml:space="preserve"> condiciones</w:t>
            </w:r>
            <w:r w:rsidR="00E6603A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s-ES"/>
              </w:rPr>
              <w:t xml:space="preserve"> y cómo se acreditan</w:t>
            </w:r>
            <w:r w:rsidRPr="00794877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:</w:t>
            </w:r>
          </w:p>
          <w:p w14:paraId="7633AFAD" w14:textId="77777777" w:rsidR="006439ED" w:rsidRPr="00794877" w:rsidRDefault="006439ED" w:rsidP="00794877">
            <w:pPr>
              <w:spacing w:after="0" w:line="1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794877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 Cualidad de gran tenedor.</w:t>
            </w:r>
          </w:p>
          <w:p w14:paraId="13B62DE9" w14:textId="77777777" w:rsidR="006439ED" w:rsidRDefault="006439ED" w:rsidP="00D260A4">
            <w:pPr>
              <w:spacing w:after="0" w:line="1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794877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- Contraprestación inferior al 70% de la tasación.</w:t>
            </w:r>
          </w:p>
          <w:p w14:paraId="5F26C832" w14:textId="419006D0" w:rsidR="00D260A4" w:rsidRPr="00105ED7" w:rsidRDefault="00D260A4" w:rsidP="00D260A4">
            <w:pPr>
              <w:spacing w:after="60" w:line="180" w:lineRule="exact"/>
              <w:jc w:val="both"/>
              <w:rPr>
                <w:rFonts w:ascii="Times New Roman" w:eastAsia="Times New Roman" w:hAnsi="Times New Roman" w:cs="Times New Roman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La concurrencia de </w:t>
            </w:r>
            <w:r w:rsidR="00E6603A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ambas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impide la autorización notarial. Ver </w:t>
            </w:r>
            <w:r w:rsidRPr="00D260A4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APARTADO 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.</w:t>
            </w:r>
          </w:p>
        </w:tc>
      </w:tr>
      <w:tr w:rsidR="00AD0407" w:rsidRPr="000E48AA" w14:paraId="508E6174" w14:textId="77777777" w:rsidTr="00AD0407">
        <w:trPr>
          <w:trHeight w:val="301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73487EC5" w14:textId="0E44067C" w:rsidR="00AD0407" w:rsidRPr="00797A56" w:rsidRDefault="00AD0407" w:rsidP="007670A4">
            <w:pPr>
              <w:spacing w:before="60" w:after="60" w:line="18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797A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Documentación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 xml:space="preserve"> para acreditar </w:t>
            </w:r>
            <w:r w:rsidRPr="007670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  <w:t>que no</w:t>
            </w:r>
            <w:r w:rsidR="00E660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  <w:t xml:space="preserve"> se</w:t>
            </w:r>
            <w:r w:rsidRPr="007670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  <w:t xml:space="preserve"> es gran tenedor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3F3432D1" w14:textId="4507C659" w:rsidR="00AD0407" w:rsidRPr="00AF509D" w:rsidRDefault="00AD0407" w:rsidP="00AF509D">
            <w:pPr>
              <w:spacing w:before="60" w:after="2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5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P</w:t>
            </w:r>
            <w:r w:rsidR="00794877" w:rsidRPr="00AF5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ara</w:t>
            </w:r>
            <w:r w:rsidRPr="00AF5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determinar si</w:t>
            </w:r>
            <w:r w:rsidR="00E36C89" w:rsidRPr="00AF5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la sociedad adquirente</w:t>
            </w:r>
            <w:r w:rsidRPr="00AF5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tiene la condición de gran tenedor, deberá aportar certificación del Registro de la Propiedad</w:t>
            </w:r>
            <w:r w:rsidR="00A71590" w:rsidRPr="00AF5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[no será necesario si la contraprestación es inferior al 70% de la tasación]</w:t>
            </w:r>
          </w:p>
        </w:tc>
      </w:tr>
      <w:tr w:rsidR="00AD0407" w:rsidRPr="000E48AA" w14:paraId="5680952D" w14:textId="77777777" w:rsidTr="00AD0407">
        <w:trPr>
          <w:trHeight w:val="300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5B80C295" w14:textId="77777777" w:rsidR="00AD0407" w:rsidRPr="00797A56" w:rsidRDefault="00AD0407" w:rsidP="00AD0407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458FFD69" w14:textId="58818122" w:rsidR="00AD0407" w:rsidRDefault="00442268" w:rsidP="00AF509D">
            <w:pPr>
              <w:spacing w:before="20" w:after="2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La aportación por el adquirente de la certificación registral puede gestionarse desde la notaría, en la misma sede registral en la que se obtienen las informaciones continuada</w:t>
            </w:r>
            <w:r w:rsidR="00AF6F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y con cargo al wallet de 18,19 € (IVA incluido):</w:t>
            </w:r>
          </w:p>
          <w:p w14:paraId="75B5B228" w14:textId="12497C26" w:rsidR="00442268" w:rsidRPr="00AF6F02" w:rsidRDefault="00AF6F02" w:rsidP="00AF6F02">
            <w:pPr>
              <w:spacing w:before="20" w:after="40" w:line="18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ES"/>
              </w:rPr>
            </w:pPr>
            <w:hyperlink r:id="rId13" w:history="1">
              <w:r w:rsidRPr="00AF6F02">
                <w:rPr>
                  <w:rStyle w:val="Hipervnculo"/>
                  <w:rFonts w:ascii="Times New Roman" w:eastAsia="Times New Roman" w:hAnsi="Times New Roman" w:cs="Times New Roman"/>
                  <w:bCs/>
                  <w:sz w:val="18"/>
                  <w:szCs w:val="18"/>
                  <w:lang w:eastAsia="es-ES"/>
                </w:rPr>
                <w:t>Registro de la Propiedad /Ver toda la publicidad / Certificaciones /</w:t>
              </w:r>
              <w:r w:rsidR="00442268" w:rsidRPr="00442268">
                <w:rPr>
                  <w:rStyle w:val="Hipervnculo"/>
                  <w:rFonts w:ascii="Times New Roman" w:eastAsia="Times New Roman" w:hAnsi="Times New Roman" w:cs="Times New Roman"/>
                  <w:bCs/>
                  <w:sz w:val="18"/>
                  <w:szCs w:val="18"/>
                  <w:lang w:eastAsia="es-ES"/>
                </w:rPr>
                <w:t>Certificación de localización de la Ley 12/2023 por el derecho a la vivienda</w:t>
              </w:r>
            </w:hyperlink>
          </w:p>
        </w:tc>
      </w:tr>
      <w:tr w:rsidR="00AD0407" w:rsidRPr="000E48AA" w14:paraId="7828FE49" w14:textId="77777777" w:rsidTr="008A4096">
        <w:trPr>
          <w:trHeight w:val="382"/>
          <w:jc w:val="center"/>
        </w:trPr>
        <w:tc>
          <w:tcPr>
            <w:tcW w:w="1678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C48C27F" w14:textId="77777777" w:rsidR="00AD0407" w:rsidRPr="00797A56" w:rsidRDefault="00AD0407" w:rsidP="00797A56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36023147" w14:textId="77777777" w:rsidR="00442268" w:rsidRPr="00AF509D" w:rsidRDefault="00442268" w:rsidP="00317430">
            <w:pPr>
              <w:spacing w:before="20" w:after="20" w:line="1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AF509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Es conveniente incorporar la certificación a la escritura.</w:t>
            </w:r>
          </w:p>
          <w:p w14:paraId="0D294564" w14:textId="77777777" w:rsidR="00442268" w:rsidRPr="00AF509D" w:rsidRDefault="00442268" w:rsidP="00317430">
            <w:pPr>
              <w:spacing w:before="20" w:after="20" w:line="1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</w:pPr>
            <w:r w:rsidRPr="00AF509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Otra posibilidad sería que la misma aparezca incorporada a un acta notarial a la que remitirse mediante un testimonio en relación [con lo que se conjuga la salvaguarda de la responsabilidad y la privacidad del adquirente].</w:t>
            </w:r>
          </w:p>
          <w:p w14:paraId="4E5A457F" w14:textId="0357C395" w:rsidR="00AD0407" w:rsidRPr="00797A56" w:rsidRDefault="00442268" w:rsidP="00317430">
            <w:pPr>
              <w:spacing w:after="60" w:line="16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F509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También podría simplemente reseñarse el CSV de la certificación registral [pero es menos fiable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 xml:space="preserve"> para la salvaguarda de la responsabilidad</w:t>
            </w:r>
            <w:r w:rsidRPr="00AF509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ES"/>
              </w:rPr>
              <w:t>].</w:t>
            </w:r>
          </w:p>
        </w:tc>
      </w:tr>
      <w:tr w:rsidR="00980B66" w:rsidRPr="000E48AA" w14:paraId="2D8D78C8" w14:textId="77777777" w:rsidTr="00980B66">
        <w:trPr>
          <w:trHeight w:val="370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2F0C1EB6" w14:textId="26D65C58" w:rsidR="00980B66" w:rsidRPr="00AF11DD" w:rsidRDefault="00980B66" w:rsidP="007670A4">
            <w:pPr>
              <w:spacing w:before="60" w:after="60" w:line="18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bookmarkStart w:id="3" w:name="_Hlk242615702"/>
            <w:r w:rsidRPr="00797A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Documentación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 xml:space="preserve"> para acreditar </w:t>
            </w:r>
            <w:r w:rsidRPr="007670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  <w:t>que la contraprestación no es inferior al 70% de</w:t>
            </w:r>
            <w:r w:rsidR="007670A4" w:rsidRPr="007670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  <w:t xml:space="preserve"> </w:t>
            </w:r>
            <w:r w:rsidRPr="007670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  <w:t>l</w:t>
            </w:r>
            <w:r w:rsidR="007670A4" w:rsidRPr="007670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  <w:t>a</w:t>
            </w:r>
            <w:r w:rsidRPr="007670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s-ES"/>
              </w:rPr>
              <w:t xml:space="preserve"> tasación</w:t>
            </w:r>
            <w:bookmarkEnd w:id="3"/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F02E80F" w14:textId="1488B9A2" w:rsidR="00980B66" w:rsidRPr="00A44DB7" w:rsidRDefault="006E7D92" w:rsidP="00A44DB7">
            <w:pPr>
              <w:spacing w:before="60" w:after="2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44D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Para determinar si la contraprestación es inferior al 70% del valor de tasación</w:t>
            </w:r>
            <w:r w:rsidR="00980B66" w:rsidRPr="00A44D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, </w:t>
            </w:r>
            <w:r w:rsidRPr="00A44D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la sociedad adquirente </w:t>
            </w:r>
            <w:r w:rsidR="00980B66" w:rsidRPr="00A44D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deberá aportar a una tasación por sociedad homologada e inscrita en el Banco de España</w:t>
            </w:r>
            <w:r w:rsidRPr="00A44D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Pr="00A44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[no será necesario si acredita que no es gran tenedor]</w:t>
            </w:r>
          </w:p>
        </w:tc>
      </w:tr>
      <w:tr w:rsidR="00980B66" w:rsidRPr="000E48AA" w14:paraId="20C4DB72" w14:textId="77777777" w:rsidTr="00980B66">
        <w:trPr>
          <w:trHeight w:val="369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0F2DE6C4" w14:textId="77777777" w:rsidR="00980B66" w:rsidRPr="00797A56" w:rsidRDefault="00980B66" w:rsidP="00AD0407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EFAA625" w14:textId="4B81DB89" w:rsidR="00980B66" w:rsidRPr="007670A4" w:rsidRDefault="004F63CF" w:rsidP="007670A4">
            <w:pPr>
              <w:spacing w:before="20" w:after="20" w:line="1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7670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Es conveniente incorporar la certificación a la escritura, </w:t>
            </w:r>
            <w:r w:rsidR="007670A4" w:rsidRPr="007670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incluso en el caso de </w:t>
            </w:r>
            <w:r w:rsidRPr="007670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remisión a la tasación incorporada al eventual préstamo hipotecario subsiguiente</w:t>
            </w:r>
          </w:p>
        </w:tc>
      </w:tr>
      <w:tr w:rsidR="00980B66" w:rsidRPr="000E48AA" w14:paraId="47F44915" w14:textId="77777777" w:rsidTr="00E36C89">
        <w:trPr>
          <w:trHeight w:val="263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3F469542" w14:textId="77777777" w:rsidR="00980B66" w:rsidRPr="00EB34B8" w:rsidRDefault="00980B66" w:rsidP="004475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11D8DF1E" w14:textId="56608F1F" w:rsidR="00980B66" w:rsidRPr="0050577B" w:rsidRDefault="00980B66" w:rsidP="00D260A4">
            <w:pPr>
              <w:spacing w:before="40" w:after="60" w:line="16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50577B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El informe técnico de tasación, así como el certificado que lo sintetiza caducan a los 6 meses y no necesitan visado colegial</w:t>
            </w:r>
            <w:r w:rsidRPr="0050577B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(</w:t>
            </w:r>
            <w:hyperlink r:id="rId14" w:anchor="a8" w:history="1">
              <w:r w:rsidRPr="0050577B">
                <w:rPr>
                  <w:rStyle w:val="Hipervnculo"/>
                  <w:rFonts w:ascii="Times New Roman" w:eastAsia="Times New Roman" w:hAnsi="Times New Roman" w:cs="Times New Roman"/>
                  <w:sz w:val="16"/>
                  <w:szCs w:val="16"/>
                  <w:lang w:eastAsia="es-ES"/>
                </w:rPr>
                <w:t>art. 8 Decreto 716/2009</w:t>
              </w:r>
            </w:hyperlink>
            <w:r w:rsidRPr="0050577B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)</w:t>
            </w:r>
          </w:p>
        </w:tc>
      </w:tr>
      <w:tr w:rsidR="00317430" w:rsidRPr="000E48AA" w14:paraId="1AE06241" w14:textId="77777777" w:rsidTr="00C72F35">
        <w:trPr>
          <w:trHeight w:val="1675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58D81F6" w14:textId="468EC9CC" w:rsidR="00317430" w:rsidRDefault="00317430" w:rsidP="00AD0407">
            <w:pPr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s-ES"/>
              </w:rPr>
              <w:t>Modelos notariales</w:t>
            </w:r>
          </w:p>
          <w:p w14:paraId="7A2990BB" w14:textId="7AE27D14" w:rsidR="00317430" w:rsidRPr="00AF509D" w:rsidRDefault="00317430" w:rsidP="00AF509D">
            <w:pPr>
              <w:spacing w:before="60" w:after="0" w:line="18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AF509D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[elegir de las opciones la que proceda]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411ED7D0" w14:textId="17D9F5C1" w:rsidR="00317430" w:rsidRPr="00317430" w:rsidRDefault="00DE0465" w:rsidP="00317430">
            <w:pPr>
              <w:spacing w:before="60" w:after="0" w:line="160" w:lineRule="exact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0465">
              <w:rPr>
                <w:rFonts w:ascii="Arial" w:eastAsia="Times New Roman" w:hAnsi="Arial" w:cs="Arial"/>
                <w:i/>
                <w:iCs/>
                <w:color w:val="EE0000"/>
                <w:sz w:val="16"/>
                <w:szCs w:val="16"/>
                <w:lang w:eastAsia="es-ES"/>
              </w:rPr>
              <w:t>No GT</w:t>
            </w:r>
            <w:r>
              <w:rPr>
                <w:rFonts w:ascii="Arial" w:eastAsia="Times New Roman" w:hAnsi="Arial" w:cs="Arial"/>
                <w:i/>
                <w:iCs/>
                <w:color w:val="EE0000"/>
                <w:sz w:val="16"/>
                <w:szCs w:val="16"/>
                <w:lang w:eastAsia="es-ES"/>
              </w:rPr>
              <w:t>:</w:t>
            </w:r>
            <w:r w:rsidRPr="00DE0465">
              <w:rPr>
                <w:rFonts w:ascii="Arial" w:eastAsia="Times New Roman" w:hAnsi="Arial" w:cs="Arial"/>
                <w:i/>
                <w:iCs/>
                <w:color w:val="EE0000"/>
                <w:sz w:val="16"/>
                <w:szCs w:val="16"/>
                <w:lang w:eastAsia="es-ES"/>
              </w:rPr>
              <w:t xml:space="preserve"> CR</w:t>
            </w:r>
            <w:r w:rsidRPr="00DE0465">
              <w:rPr>
                <w:rFonts w:ascii="Arial" w:eastAsia="Times New Roman" w:hAnsi="Arial" w:cs="Arial"/>
                <w:b/>
                <w:color w:val="EE0000"/>
                <w:sz w:val="16"/>
                <w:szCs w:val="16"/>
                <w:lang w:eastAsia="es-ES"/>
              </w:rPr>
              <w:t xml:space="preserve"> </w:t>
            </w:r>
            <w:r w:rsidR="00317430" w:rsidRPr="00317430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EXPOSICIÓN... F) Requisitos.-...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u w:val="single"/>
                <w:lang w:eastAsia="es-ES"/>
              </w:rPr>
              <w:t>Tercero.- Limitación hasta el 31/12/2030 del artículo 1 del Decreto-ley 29/2026.-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La sociedad adquirente de la vivienda manifiesta que NO tiene la condición de gran tenedor (incluyendo</w:t>
            </w:r>
            <w:r w:rsidR="00317430" w:rsidRPr="0031743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las entidades integradas en su mismo grupo o que actúen por su cuenta) en los términos del art. </w:t>
            </w:r>
            <w:hyperlink r:id="rId15" w:anchor="a3" w:history="1">
              <w:r w:rsidR="00317430" w:rsidRPr="00317430">
                <w:rPr>
                  <w:rStyle w:val="Hipervnculo"/>
                  <w:rFonts w:ascii="Arial" w:eastAsia="Times New Roman" w:hAnsi="Arial" w:cs="Arial"/>
                  <w:sz w:val="16"/>
                  <w:szCs w:val="16"/>
                  <w:lang w:eastAsia="es-ES"/>
                </w:rPr>
                <w:t>art. 3-k de la Ley 12/2023</w:t>
              </w:r>
            </w:hyperlink>
            <w:r w:rsidR="00317430"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, cualidad que se alcanza por la titularidad de más de 10 inmuebles urbanos de uso residencial o de una superficie construida de más de 1.500 m2 de uso residencial, excluyendo garajes y trasteros.</w:t>
            </w:r>
          </w:p>
          <w:p w14:paraId="775653F0" w14:textId="23BA0C9E" w:rsidR="00317430" w:rsidRPr="00317430" w:rsidRDefault="00317430" w:rsidP="00317430">
            <w:pPr>
              <w:spacing w:after="0" w:line="160" w:lineRule="exact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*</w:t>
            </w:r>
            <w:r w:rsidR="00D260A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** </w:t>
            </w:r>
            <w:r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Se me entrega e incorporo certificación registral acreditativa de tal circunstancia.</w:t>
            </w:r>
          </w:p>
          <w:p w14:paraId="27A25D42" w14:textId="29CFD222" w:rsidR="00317430" w:rsidRPr="00F60067" w:rsidRDefault="00317430" w:rsidP="00BE20A5">
            <w:pPr>
              <w:pStyle w:val="Textoindependiente"/>
              <w:spacing w:after="20" w:line="160" w:lineRule="exact"/>
              <w:jc w:val="both"/>
              <w:rPr>
                <w:rFonts w:ascii="Arial" w:eastAsia="Times New Roman" w:hAnsi="Arial" w:cs="Times New Roman"/>
                <w:sz w:val="18"/>
                <w:szCs w:val="18"/>
                <w:lang w:val="es-ES_tradnl" w:eastAsia="es-ES"/>
              </w:rPr>
            </w:pPr>
            <w:r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*** Se me aporta copia autorizada del acta autorizada por el Notario de Oviedo Vicente Martorell García, el día X, número Y de protocolo, que incorpora certificación registral de fecha Z acreditativa de tal circunstancia, de lo que doy testimonio parcial</w:t>
            </w:r>
            <w:r w:rsidRPr="00317430"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  <w:t>, sin que en lo omitido haya nada que altere lo inserto.</w:t>
            </w:r>
          </w:p>
        </w:tc>
      </w:tr>
      <w:tr w:rsidR="00317430" w:rsidRPr="000E48AA" w14:paraId="23CABE7D" w14:textId="77777777" w:rsidTr="00D17770">
        <w:trPr>
          <w:trHeight w:val="1503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070CE66" w14:textId="77777777" w:rsidR="00317430" w:rsidRDefault="00317430" w:rsidP="00AD0407">
            <w:pPr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774371B8" w14:textId="1E76B361" w:rsidR="00317430" w:rsidRPr="00317430" w:rsidRDefault="00DE0465" w:rsidP="00D17770">
            <w:pPr>
              <w:pStyle w:val="Textoindependiente"/>
              <w:spacing w:before="40" w:after="0" w:line="160" w:lineRule="exact"/>
              <w:jc w:val="both"/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</w:pPr>
            <w:r>
              <w:rPr>
                <w:rFonts w:ascii="Arial" w:eastAsia="Times New Roman" w:hAnsi="Arial" w:cs="Arial"/>
                <w:i/>
                <w:iCs/>
                <w:color w:val="EE0000"/>
                <w:sz w:val="16"/>
                <w:szCs w:val="16"/>
                <w:lang w:eastAsia="es-ES"/>
              </w:rPr>
              <w:t xml:space="preserve">Sí o no GT: </w:t>
            </w:r>
            <w:r w:rsidRPr="00DE0465">
              <w:rPr>
                <w:rFonts w:ascii="Arial" w:eastAsia="Times New Roman" w:hAnsi="Arial" w:cs="Arial"/>
                <w:i/>
                <w:iCs/>
                <w:color w:val="EE0000"/>
                <w:sz w:val="16"/>
                <w:szCs w:val="16"/>
                <w:lang w:eastAsia="es-ES"/>
              </w:rPr>
              <w:t>CT</w:t>
            </w:r>
            <w:r w:rsidRPr="00DE0465">
              <w:rPr>
                <w:rFonts w:ascii="Arial" w:eastAsia="Times New Roman" w:hAnsi="Arial" w:cs="Arial"/>
                <w:b/>
                <w:color w:val="EE0000"/>
                <w:sz w:val="16"/>
                <w:szCs w:val="16"/>
                <w:lang w:eastAsia="es-ES"/>
              </w:rPr>
              <w:t xml:space="preserve"> </w:t>
            </w:r>
            <w:r w:rsidR="00317430" w:rsidRPr="00317430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EXPOSICIÓN... F) Requisitos.-...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u w:val="single"/>
                <w:lang w:eastAsia="es-ES"/>
              </w:rPr>
              <w:t>Tercero.- Limitación hasta el 31/12/2030 del art. 1 del Decreto-ley 29/2026.-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La sociedad adquirente de la vivienda manifiesta </w:t>
            </w:r>
            <w:r w:rsidR="00317430" w:rsidRPr="00317430"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  <w:t>que, con independencia de la cualidad o no de gran tenedor, la contraprestación por todos los conceptos es inferior al 70% del valor de tasación.</w:t>
            </w:r>
          </w:p>
          <w:p w14:paraId="716EA7B0" w14:textId="77777777" w:rsidR="00317430" w:rsidRPr="00317430" w:rsidRDefault="00317430" w:rsidP="00C72F35">
            <w:pPr>
              <w:pStyle w:val="Textoindependiente"/>
              <w:spacing w:after="0" w:line="160" w:lineRule="exact"/>
              <w:jc w:val="both"/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</w:pPr>
            <w:r w:rsidRPr="00317430"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  <w:t>*** Se me entrega e incorporo certificación por sociedad homologada e inscrita en el Banco de España.</w:t>
            </w:r>
          </w:p>
          <w:p w14:paraId="72AAF6CB" w14:textId="0721E55E" w:rsidR="00317430" w:rsidRPr="00317430" w:rsidRDefault="00317430" w:rsidP="00D17770">
            <w:pPr>
              <w:pStyle w:val="Textoindependiente"/>
              <w:spacing w:after="20" w:line="160" w:lineRule="exact"/>
              <w:jc w:val="both"/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</w:pPr>
            <w:r w:rsidRPr="00317430"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  <w:t>*** Se me aporta certificación por sociedad homologada e inscrita en el Banco de España, que incorporo a la escritura de préstamo hipotecario subsiguiente destinado a financiar la adquisición.</w:t>
            </w:r>
          </w:p>
        </w:tc>
      </w:tr>
      <w:tr w:rsidR="00317430" w:rsidRPr="000E48AA" w14:paraId="3222EA1B" w14:textId="77777777" w:rsidTr="00317430">
        <w:trPr>
          <w:trHeight w:val="977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3FA74E3" w14:textId="77777777" w:rsidR="00317430" w:rsidRDefault="00317430" w:rsidP="00AD0407">
            <w:pPr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305E2706" w14:textId="77B19C72" w:rsidR="00317430" w:rsidRPr="00317430" w:rsidRDefault="00DE0465" w:rsidP="00317430">
            <w:pPr>
              <w:pStyle w:val="Textoindependiente"/>
              <w:spacing w:before="40" w:after="0" w:line="160" w:lineRule="exact"/>
              <w:jc w:val="both"/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</w:pPr>
            <w:r>
              <w:rPr>
                <w:rFonts w:ascii="Arial" w:eastAsia="Times New Roman" w:hAnsi="Arial" w:cs="Arial"/>
                <w:i/>
                <w:iCs/>
                <w:color w:val="EE0000"/>
                <w:sz w:val="16"/>
                <w:szCs w:val="16"/>
                <w:lang w:eastAsia="es-ES"/>
              </w:rPr>
              <w:t xml:space="preserve">Sí GT: </w:t>
            </w:r>
            <w:r w:rsidRPr="00DE0465">
              <w:rPr>
                <w:rFonts w:ascii="Arial" w:eastAsia="Times New Roman" w:hAnsi="Arial" w:cs="Arial"/>
                <w:i/>
                <w:iCs/>
                <w:color w:val="EE0000"/>
                <w:sz w:val="16"/>
                <w:szCs w:val="16"/>
                <w:lang w:eastAsia="es-ES"/>
              </w:rPr>
              <w:t>CT</w:t>
            </w:r>
            <w:r w:rsidRPr="00DE0465">
              <w:rPr>
                <w:rFonts w:ascii="Arial" w:eastAsia="Times New Roman" w:hAnsi="Arial" w:cs="Arial"/>
                <w:b/>
                <w:color w:val="EE0000"/>
                <w:sz w:val="16"/>
                <w:szCs w:val="16"/>
                <w:lang w:eastAsia="es-ES"/>
              </w:rPr>
              <w:t xml:space="preserve"> </w:t>
            </w:r>
            <w:r w:rsidR="00317430" w:rsidRPr="00317430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EXPOSICIÓN... F) Requisitos.-...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u w:val="single"/>
                <w:lang w:eastAsia="es-ES"/>
              </w:rPr>
              <w:t>Tercero.- Limitación hasta el 31/12/2030 del art. 1 del Decreto-ley 29/2026.-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La sociedad adquirente de la vivienda manifiesta que SÍ tiene la condición de gran tenedor en los términos del artículo </w:t>
            </w:r>
            <w:hyperlink r:id="rId16" w:anchor="a3" w:history="1">
              <w:r w:rsidR="00317430" w:rsidRPr="00317430">
                <w:rPr>
                  <w:rStyle w:val="Hipervnculo"/>
                  <w:rFonts w:ascii="Arial" w:eastAsia="Times New Roman" w:hAnsi="Arial" w:cs="Arial"/>
                  <w:sz w:val="16"/>
                  <w:szCs w:val="16"/>
                  <w:lang w:eastAsia="es-ES"/>
                </w:rPr>
                <w:t>art. 3-k de la Ley 12/2023</w:t>
              </w:r>
            </w:hyperlink>
            <w:r w:rsidR="00317430"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, cualidad que se alcanza por la titularidad de más de 10 inmuebles urbanos de uso residencial o de una superficie construida de más de 1.500 m2 de uso residencial, excluyendo garajes y trasteros; pero que</w:t>
            </w:r>
            <w:r w:rsidR="00317430" w:rsidRPr="00317430"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  <w:t xml:space="preserve"> la contraprestación acordada por todos los conceptos es inferior al 70% del valor de tasación.</w:t>
            </w:r>
          </w:p>
          <w:p w14:paraId="270BF01E" w14:textId="77777777" w:rsidR="00317430" w:rsidRPr="00317430" w:rsidRDefault="00317430" w:rsidP="00317430">
            <w:pPr>
              <w:pStyle w:val="Textoindependiente"/>
              <w:spacing w:after="0" w:line="160" w:lineRule="exact"/>
              <w:jc w:val="both"/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</w:pPr>
            <w:r w:rsidRPr="00317430"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  <w:t>*** Se me entrega e incorporo certificación por sociedad homologada e inscrita en el Banco de España.</w:t>
            </w:r>
          </w:p>
          <w:p w14:paraId="2A62FA23" w14:textId="5295A65B" w:rsidR="00317430" w:rsidRPr="00317430" w:rsidRDefault="00317430" w:rsidP="00D17770">
            <w:pPr>
              <w:pStyle w:val="Textoindependiente"/>
              <w:spacing w:after="60" w:line="160" w:lineRule="exact"/>
              <w:jc w:val="both"/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</w:pPr>
            <w:r w:rsidRPr="00317430"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  <w:t>*** Se me aporta certificación por sociedad homologada e inscrita en el Banco de España, que incorporo a la escritura de préstamo hipotecario subsiguiente destinado a financiar la adquisición.</w:t>
            </w:r>
          </w:p>
        </w:tc>
      </w:tr>
      <w:tr w:rsidR="00317430" w:rsidRPr="000E48AA" w14:paraId="071EE900" w14:textId="77777777" w:rsidTr="00317430">
        <w:trPr>
          <w:trHeight w:val="854"/>
          <w:jc w:val="center"/>
        </w:trPr>
        <w:tc>
          <w:tcPr>
            <w:tcW w:w="1678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A464DA9" w14:textId="77777777" w:rsidR="00317430" w:rsidRDefault="00317430" w:rsidP="00AD0407">
            <w:pPr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461DFA7A" w14:textId="48999FA2" w:rsidR="00317430" w:rsidRPr="00317430" w:rsidRDefault="00241B70" w:rsidP="00317430">
            <w:pPr>
              <w:pStyle w:val="Textoindependiente"/>
              <w:spacing w:before="40" w:after="60" w:line="160" w:lineRule="exact"/>
              <w:jc w:val="both"/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</w:pPr>
            <w:r>
              <w:rPr>
                <w:rFonts w:ascii="Arial" w:eastAsia="Times New Roman" w:hAnsi="Arial" w:cs="Arial"/>
                <w:i/>
                <w:iCs/>
                <w:color w:val="EE0000"/>
                <w:sz w:val="16"/>
                <w:szCs w:val="16"/>
                <w:lang w:eastAsia="es-ES"/>
              </w:rPr>
              <w:t xml:space="preserve">No estado de uso </w:t>
            </w:r>
            <w:r w:rsidR="00317430" w:rsidRPr="00317430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EXPOSICIÓN... F) Requisitos.-...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u w:val="single"/>
                <w:lang w:eastAsia="es-ES"/>
              </w:rPr>
              <w:t>Tercero.- Limitación hasta el 31/12/2030 del art. 1 del Decreto-ley 29/2026.-</w:t>
            </w:r>
            <w:r w:rsidR="00317430" w:rsidRPr="003174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La sociedad adquirente de la vivienda manifiesta </w:t>
            </w:r>
            <w:r w:rsidR="00317430" w:rsidRPr="00317430">
              <w:rPr>
                <w:rFonts w:ascii="Arial" w:eastAsia="Times New Roman" w:hAnsi="Arial" w:cs="Times New Roman"/>
                <w:sz w:val="16"/>
                <w:szCs w:val="16"/>
                <w:lang w:val="es-ES_tradnl" w:eastAsia="es-ES"/>
              </w:rPr>
              <w:t>que, con independencia de la cualidad o no de gran tenedor y del valor de la contraprestación, la vivienda no se encuentra en estado de uso y su adquisición se hace para su rehabilitación o demolición.</w:t>
            </w:r>
          </w:p>
        </w:tc>
      </w:tr>
    </w:tbl>
    <w:p w14:paraId="32A0B18A" w14:textId="3EF512B9" w:rsidR="00442268" w:rsidRDefault="00442268" w:rsidP="00FA04B7"/>
    <w:p w14:paraId="5ADC1806" w14:textId="77777777" w:rsidR="00442268" w:rsidRDefault="00442268">
      <w:r>
        <w:br w:type="page"/>
      </w:r>
    </w:p>
    <w:p w14:paraId="5FDD117F" w14:textId="77777777" w:rsidR="00E36D8E" w:rsidRDefault="00E36D8E" w:rsidP="00FA04B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5810"/>
      </w:tblGrid>
      <w:tr w:rsidR="00E36D8E" w:rsidRPr="000E48AA" w14:paraId="3F6FC195" w14:textId="77777777" w:rsidTr="007B0293">
        <w:trPr>
          <w:trHeight w:val="232"/>
          <w:jc w:val="center"/>
        </w:trPr>
        <w:tc>
          <w:tcPr>
            <w:tcW w:w="7488" w:type="dxa"/>
            <w:gridSpan w:val="2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CCCC"/>
          </w:tcPr>
          <w:p w14:paraId="11AD4654" w14:textId="3EDB95CB" w:rsidR="00E36D8E" w:rsidRPr="00963114" w:rsidRDefault="00E36D8E" w:rsidP="007B0293">
            <w:pPr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>3</w:t>
            </w:r>
            <w:r w:rsidRPr="00B93D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 xml:space="preserve">. </w:t>
            </w:r>
            <w:hyperlink r:id="rId17" w:history="1">
              <w:r w:rsidRPr="00B93DCD">
                <w:rPr>
                  <w:rStyle w:val="Hipervnculo"/>
                  <w:rFonts w:ascii="Times New Roman" w:eastAsia="Times New Roman" w:hAnsi="Times New Roman" w:cs="Times New Roman"/>
                  <w:b/>
                  <w:sz w:val="24"/>
                  <w:szCs w:val="24"/>
                  <w:lang w:eastAsia="es-ES"/>
                </w:rPr>
                <w:t>ARTÍCULO 1 DL 29/2026</w:t>
              </w:r>
            </w:hyperlink>
            <w:r w:rsidR="00A34E58" w:rsidRPr="00B93D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 xml:space="preserve">. </w:t>
            </w:r>
            <w:bookmarkStart w:id="4" w:name="SANCIÓN"/>
            <w:bookmarkEnd w:id="4"/>
            <w:r w:rsidR="008F57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>SANCIÓN Y ACREDITACIÓN</w:t>
            </w:r>
          </w:p>
        </w:tc>
      </w:tr>
      <w:tr w:rsidR="009A5331" w:rsidRPr="000E48AA" w14:paraId="2C9073F9" w14:textId="77777777" w:rsidTr="009A5331">
        <w:trPr>
          <w:trHeight w:val="501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3D624C64" w14:textId="4A9B0FA3" w:rsidR="009A5331" w:rsidRPr="00A95E6A" w:rsidRDefault="009A5331" w:rsidP="007B0293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s-ES"/>
              </w:rPr>
              <w:t>Clase de ineficacia y sanciones</w:t>
            </w:r>
            <w:r w:rsidR="009555C0">
              <w:rPr>
                <w:rFonts w:ascii="Times New Roman" w:eastAsia="Times New Roman" w:hAnsi="Times New Roman" w:cs="Times New Roman"/>
                <w:b/>
                <w:lang w:eastAsia="es-ES"/>
              </w:rPr>
              <w:t>: notarios y registradores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2AD472D" w14:textId="0ABDD2B7" w:rsidR="009A5331" w:rsidRPr="0088522C" w:rsidRDefault="009A5331" w:rsidP="00AA42ED">
            <w:pPr>
              <w:spacing w:before="60" w:after="20" w:line="16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No se dice expresamente cuál es la sanción por incumplir la limitación del art. 1 DL 29/202</w:t>
            </w:r>
            <w:r w:rsidR="00614A48"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  <w:r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. Entender que son nulos, es hacer una aplicación simplista del art. 6-3 del Código Civil, olvidando su inciso final, pues la Patología de los contratos ha de basarse en una interpretación sistemática de las reglas sobre ineficacia de los mi</w:t>
            </w:r>
            <w:r w:rsidR="006E7A64"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s</w:t>
            </w:r>
            <w:r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mos atendiendo a sus elementos, presupuestos o requisitos sobre los que incide el precepto vulnerado.</w:t>
            </w:r>
          </w:p>
        </w:tc>
      </w:tr>
      <w:tr w:rsidR="009A5331" w:rsidRPr="000E48AA" w14:paraId="5B79A3CB" w14:textId="77777777" w:rsidTr="009A5331">
        <w:trPr>
          <w:trHeight w:val="501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1DE88E29" w14:textId="77777777" w:rsidR="009A5331" w:rsidRDefault="009A5331" w:rsidP="007B0293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F85078E" w14:textId="77777777" w:rsidR="009A5331" w:rsidRPr="0088522C" w:rsidRDefault="00FE7A36" w:rsidP="00D175EF">
            <w:pPr>
              <w:spacing w:before="20" w:after="0" w:line="16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Entiendo que la contravención de la limitación del art. 1 DL 29/2026 supone la ilicitud de la causa</w:t>
            </w:r>
            <w:r w:rsidR="006E7A64"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eficiente</w:t>
            </w:r>
            <w:r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del contrato</w:t>
            </w:r>
            <w:r w:rsidR="006E7A64"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(</w:t>
            </w:r>
            <w:r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art. 1275-2 del CC</w:t>
            </w:r>
            <w:r w:rsidR="006E7A64"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) en cuanto</w:t>
            </w:r>
            <w:r w:rsidR="0088522C"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que </w:t>
            </w:r>
            <w:r w:rsidR="006E7A64"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su carácter especulativo lesiona e</w:t>
            </w:r>
            <w:r w:rsidR="005C587B"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l mercado de la vivienda.</w:t>
            </w:r>
          </w:p>
          <w:p w14:paraId="71F312A3" w14:textId="77777777" w:rsidR="0088522C" w:rsidRPr="0088522C" w:rsidRDefault="0088522C" w:rsidP="00AA42ED">
            <w:pPr>
              <w:spacing w:after="0" w:line="16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La sanción sería entonces de rescindibilidad, en cuanto aquella clase de ineficacia del contrato, en este caso originaria, potestativa de accionar, irretroactiva frente a terceros de buena fe y en este caso subsanable por su carácter temporal.</w:t>
            </w:r>
          </w:p>
          <w:p w14:paraId="7DA26E97" w14:textId="20985274" w:rsidR="0088522C" w:rsidRPr="0088522C" w:rsidRDefault="0088522C" w:rsidP="00D175EF">
            <w:pPr>
              <w:spacing w:after="20" w:line="16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La potestad de accionar se reconocería a la Administración. También a los terceros perjudicados, como arrendatarios. Más discutible es que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puedan</w:t>
            </w:r>
            <w:r w:rsidRPr="0088522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los transmitentes.</w:t>
            </w:r>
          </w:p>
        </w:tc>
      </w:tr>
      <w:tr w:rsidR="009A5331" w:rsidRPr="000E48AA" w14:paraId="58C85AA3" w14:textId="77777777" w:rsidTr="00134FCF">
        <w:trPr>
          <w:trHeight w:val="167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11E3C4E3" w14:textId="77777777" w:rsidR="009A5331" w:rsidRDefault="009A5331" w:rsidP="007B0293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10FEBE6" w14:textId="77777777" w:rsidR="009A5331" w:rsidRPr="00D175EF" w:rsidRDefault="009A5331" w:rsidP="0088522C">
            <w:pPr>
              <w:spacing w:before="20" w:after="40" w:line="20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D175EF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En cualquier caso, la contravención de la norma implica una infracción legal originaria, por lo que impide la autorización notarial e inscripción registral.</w:t>
            </w:r>
          </w:p>
          <w:p w14:paraId="52C04404" w14:textId="31368167" w:rsidR="00D175EF" w:rsidRPr="0026063B" w:rsidRDefault="00D175EF" w:rsidP="00D175EF">
            <w:pPr>
              <w:spacing w:after="0" w:line="16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26063B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Caso de que se hubiese autorizado indebidamente:</w:t>
            </w:r>
          </w:p>
          <w:p w14:paraId="6220CE47" w14:textId="6A22368D" w:rsidR="00D175EF" w:rsidRPr="0026063B" w:rsidRDefault="00D175EF" w:rsidP="00D175EF">
            <w:pPr>
              <w:spacing w:after="0" w:line="16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26063B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 Si es por incumplimiento de la norma, es ineficaz en los términos vistos.</w:t>
            </w:r>
          </w:p>
          <w:p w14:paraId="6A04E4BF" w14:textId="081D4D35" w:rsidR="00D175EF" w:rsidRPr="0088522C" w:rsidRDefault="00D175EF" w:rsidP="00D175EF">
            <w:pPr>
              <w:spacing w:after="20" w:line="160" w:lineRule="exact"/>
              <w:jc w:val="both"/>
              <w:rPr>
                <w:rFonts w:ascii="Times New Roman" w:eastAsia="Times New Roman" w:hAnsi="Times New Roman" w:cs="Times New Roman"/>
                <w:lang w:eastAsia="es-ES"/>
              </w:rPr>
            </w:pPr>
            <w:r w:rsidRPr="0026063B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- Si es por </w:t>
            </w:r>
            <w:r w:rsidR="002204ED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omisión</w:t>
            </w:r>
            <w:r w:rsidRPr="0026063B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de la documentación acreditativa del cumplimiento de la norma, puede acreditarse posteriormente, sin perjuicio de la responsabilidad disciplinaria.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9A5331" w:rsidRPr="000E48AA" w14:paraId="58E96BDD" w14:textId="77777777" w:rsidTr="00814CE1">
        <w:trPr>
          <w:trHeight w:val="167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1C83CF3D" w14:textId="77777777" w:rsidR="009A5331" w:rsidRDefault="009A5331" w:rsidP="007B0293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7B2295C" w14:textId="45DAE618" w:rsidR="009A5331" w:rsidRPr="00EB34B8" w:rsidRDefault="009A5331" w:rsidP="00282D4A">
            <w:pPr>
              <w:spacing w:before="20" w:after="60" w:line="1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Dado que la limitación es temporal, ello supone que, mientras no se haya declarado judicialmente su ineficacia, el contrato podrá ser convalidado una vez transcurrida su vigencia (31/12/2030) o antes si la norma fuese derogada.</w:t>
            </w:r>
          </w:p>
        </w:tc>
      </w:tr>
      <w:tr w:rsidR="008A14ED" w:rsidRPr="000E48AA" w14:paraId="714923A6" w14:textId="77777777" w:rsidTr="00BD50A3">
        <w:trPr>
          <w:trHeight w:val="436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161757CE" w14:textId="227D137F" w:rsidR="008A14ED" w:rsidRPr="00DF5430" w:rsidRDefault="008A14ED" w:rsidP="007B0293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s-ES"/>
              </w:rPr>
              <w:t>Certificación registral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18904238" w14:textId="618F0375" w:rsidR="008A14ED" w:rsidRPr="0040301F" w:rsidRDefault="008A14ED" w:rsidP="004B7319">
            <w:pPr>
              <w:spacing w:before="60" w:after="2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3467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¿Antigüedad de la certificación registral?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Hay que tener presente que ni siquiera su tramitación telemática es instantánea, como sí ocurre con las certificaciones catastrales.</w:t>
            </w:r>
          </w:p>
        </w:tc>
      </w:tr>
      <w:tr w:rsidR="008A14ED" w:rsidRPr="000E48AA" w14:paraId="51DFA451" w14:textId="77777777" w:rsidTr="00BD50A3">
        <w:trPr>
          <w:trHeight w:val="435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AD327D6" w14:textId="77777777" w:rsidR="008A14ED" w:rsidRDefault="008A14ED" w:rsidP="007B0293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51AC1648" w14:textId="258DAF2C" w:rsidR="008A14ED" w:rsidRPr="00346791" w:rsidRDefault="008A14ED" w:rsidP="004B7319">
            <w:pPr>
              <w:spacing w:before="20" w:after="2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3467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¿Puede prescindirse de la certificación registral si la sociedad adquirente reconoce que es gran tenedor?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Lógicamente sí, ya que es el mismo sujeto afectado quien admite su inclusión en un régimen más desfavorable, bastando entonces que la contraprestación no sea inferior al 70% de la tasación aportada.</w:t>
            </w:r>
          </w:p>
        </w:tc>
      </w:tr>
      <w:tr w:rsidR="008A14ED" w:rsidRPr="000E48AA" w14:paraId="118DB8D4" w14:textId="77777777" w:rsidTr="008A14ED">
        <w:trPr>
          <w:trHeight w:val="320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6EF3D65" w14:textId="77777777" w:rsidR="008A14ED" w:rsidRDefault="008A14ED" w:rsidP="007B0293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3132C0E" w14:textId="2987E073" w:rsidR="008A14ED" w:rsidRPr="00346791" w:rsidRDefault="008A14ED" w:rsidP="007268E7">
            <w:pPr>
              <w:spacing w:before="20" w:after="6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3467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¿A los efectos de determinar la condición de gran tenedor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, p</w:t>
            </w:r>
            <w:r w:rsidRPr="003467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uede completarse</w:t>
            </w:r>
            <w:r w:rsidR="00F81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o desvirtuarse</w:t>
            </w:r>
            <w:r w:rsidRPr="003467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la certificaci</w:t>
            </w:r>
            <w:r w:rsidR="00F815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ón</w:t>
            </w:r>
            <w:r w:rsidR="00814B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registral</w:t>
            </w:r>
            <w:r w:rsidRPr="003467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con la escritura en que se haya formalizado una transmisión anterior no inscrita? Por supuesto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, debe primar la situación real.</w:t>
            </w:r>
          </w:p>
        </w:tc>
      </w:tr>
      <w:tr w:rsidR="007268E7" w:rsidRPr="000E48AA" w14:paraId="663C583F" w14:textId="77777777" w:rsidTr="00F815DD">
        <w:trPr>
          <w:trHeight w:val="301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3DC37E" w14:textId="32761646" w:rsidR="007268E7" w:rsidRPr="006F4596" w:rsidRDefault="006F4596" w:rsidP="009F546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6F45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C</w:t>
            </w:r>
            <w:r w:rsidR="007268E7" w:rsidRPr="006F45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 xml:space="preserve">ertificación </w:t>
            </w:r>
            <w:r w:rsidRPr="006F45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catastral sustitutiva o complementaria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9817398" w14:textId="64603020" w:rsidR="007268E7" w:rsidRPr="00D84D35" w:rsidRDefault="007268E7" w:rsidP="007268E7">
            <w:pPr>
              <w:spacing w:before="60" w:after="20" w:line="18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D84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¿Puede sustituirse la certificación registral por una certificación catastral? Debería</w:t>
            </w:r>
            <w:r w:rsidR="00D84D35" w:rsidRPr="00D84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, </w:t>
            </w:r>
            <w:r w:rsidRPr="00D84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siempre que se incluya País Vasco y Navarra</w:t>
            </w:r>
            <w:r w:rsidR="00D84D35" w:rsidRPr="00D84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,</w:t>
            </w:r>
            <w:r w:rsidRPr="00D84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habida cuenta de que el Registro es voluntario y el Catastro obligatorio</w:t>
            </w:r>
            <w:r w:rsidR="00D84D35" w:rsidRPr="00D84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, complementada con la manifestación del adquirente.</w:t>
            </w:r>
          </w:p>
        </w:tc>
      </w:tr>
      <w:tr w:rsidR="007268E7" w:rsidRPr="000E48AA" w14:paraId="088DF6ED" w14:textId="77777777" w:rsidTr="007268E7">
        <w:trPr>
          <w:trHeight w:val="633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E45B15" w14:textId="77777777" w:rsidR="007268E7" w:rsidRDefault="007268E7" w:rsidP="009F546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A870314" w14:textId="7675972A" w:rsidR="007268E7" w:rsidRPr="00346791" w:rsidRDefault="006F4596" w:rsidP="007268E7">
            <w:pPr>
              <w:spacing w:before="20" w:after="2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En cualquier caso, haya o no certificación registral, resulta prudente obtener la certificación catastral, pues el alta en el Catastro es obligatoria y su actualización suele ser más rápida que</w:t>
            </w:r>
            <w:r w:rsidR="001F3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la del Registro</w:t>
            </w:r>
            <w:r w:rsidR="001F3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por las propias comunicaciones notariales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</w:p>
        </w:tc>
      </w:tr>
      <w:tr w:rsidR="007268E7" w:rsidRPr="0058274D" w14:paraId="5F8D7AEB" w14:textId="77777777" w:rsidTr="006F4596">
        <w:trPr>
          <w:trHeight w:val="632"/>
          <w:jc w:val="center"/>
        </w:trPr>
        <w:tc>
          <w:tcPr>
            <w:tcW w:w="1678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E5B5183" w14:textId="77777777" w:rsidR="007268E7" w:rsidRDefault="007268E7" w:rsidP="009F546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6B243CF" w14:textId="0FE052E4" w:rsidR="00B0495E" w:rsidRDefault="00B32FFA" w:rsidP="0058274D">
            <w:pPr>
              <w:spacing w:before="20" w:after="2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Sin embargo, no todas las sedes electrónicas ofrecen este servicio:</w:t>
            </w:r>
          </w:p>
          <w:p w14:paraId="0CAB93A0" w14:textId="670B7E7B" w:rsidR="00836519" w:rsidRDefault="00836519" w:rsidP="00B32FFA">
            <w:pPr>
              <w:spacing w:before="20" w:after="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España régimen común</w:t>
            </w:r>
            <w:r w:rsidR="00B04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B0495E" w:rsidRPr="00C03A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(firma electrónica)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: </w:t>
            </w:r>
            <w:hyperlink r:id="rId18" w:history="1">
              <w:r w:rsidR="000548DA" w:rsidRPr="00BF454B">
                <w:rPr>
                  <w:rStyle w:val="Hipervnculo"/>
                  <w:rFonts w:ascii="Times New Roman" w:eastAsia="Times New Roman" w:hAnsi="Times New Roman" w:cs="Times New Roman"/>
                  <w:sz w:val="20"/>
                  <w:szCs w:val="20"/>
                  <w:lang w:eastAsia="es-ES"/>
                </w:rPr>
                <w:t>sedecatastro.gob.es/</w:t>
              </w:r>
            </w:hyperlink>
          </w:p>
          <w:p w14:paraId="1CD8DEA5" w14:textId="14C634A3" w:rsidR="005D674D" w:rsidRDefault="005D674D" w:rsidP="00B32FFA">
            <w:pPr>
              <w:spacing w:after="0" w:line="180" w:lineRule="exact"/>
              <w:jc w:val="both"/>
            </w:pPr>
            <w:r w:rsidRPr="005D67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Navarra</w:t>
            </w:r>
            <w:r w:rsidR="00B04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B0495E" w:rsidRPr="00C03A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(alta previa</w:t>
            </w:r>
            <w:r w:rsidR="00C03AAA" w:rsidRPr="00C03A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, contraseña</w:t>
            </w:r>
            <w:r w:rsidR="00B0495E" w:rsidRPr="00C03A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: </w:t>
            </w:r>
            <w:hyperlink r:id="rId19" w:history="1">
              <w:r w:rsidR="00836519" w:rsidRPr="00BF454B">
                <w:rPr>
                  <w:rStyle w:val="Hipervnculo"/>
                  <w:rFonts w:ascii="Times New Roman" w:eastAsia="Times New Roman" w:hAnsi="Times New Roman" w:cs="Times New Roman"/>
                  <w:sz w:val="20"/>
                  <w:szCs w:val="20"/>
                  <w:lang w:eastAsia="es-ES"/>
                </w:rPr>
                <w:t>nav</w:t>
              </w:r>
              <w:r w:rsidR="00836519" w:rsidRPr="00BF454B">
                <w:rPr>
                  <w:rStyle w:val="Hipervnculo"/>
                  <w:rFonts w:ascii="Times New Roman" w:eastAsia="Times New Roman" w:hAnsi="Times New Roman" w:cs="Times New Roman"/>
                  <w:sz w:val="20"/>
                  <w:szCs w:val="20"/>
                  <w:lang w:eastAsia="es-ES"/>
                </w:rPr>
                <w:t>a</w:t>
              </w:r>
              <w:r w:rsidR="00836519" w:rsidRPr="00BF454B">
                <w:rPr>
                  <w:rStyle w:val="Hipervnculo"/>
                  <w:rFonts w:ascii="Times New Roman" w:eastAsia="Times New Roman" w:hAnsi="Times New Roman" w:cs="Times New Roman"/>
                  <w:sz w:val="20"/>
                  <w:szCs w:val="20"/>
                  <w:lang w:eastAsia="es-ES"/>
                </w:rPr>
                <w:t>rra.es/es/hacienda/riqueza-territorial</w:t>
              </w:r>
            </w:hyperlink>
          </w:p>
          <w:p w14:paraId="6FF1C792" w14:textId="77777777" w:rsidR="00B0495E" w:rsidRPr="00B32FFA" w:rsidRDefault="00B0495E" w:rsidP="00B0495E">
            <w:pPr>
              <w:spacing w:after="2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B32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Bizkaia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C03A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(firma electrónica)</w:t>
            </w:r>
            <w:r w:rsidRPr="00B32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: </w:t>
            </w:r>
            <w:hyperlink r:id="rId20" w:history="1">
              <w:r w:rsidRPr="00B32FFA">
                <w:rPr>
                  <w:rStyle w:val="Hipervnculo"/>
                  <w:rFonts w:ascii="Times New Roman" w:eastAsia="Times New Roman" w:hAnsi="Times New Roman" w:cs="Times New Roman"/>
                  <w:sz w:val="20"/>
                  <w:szCs w:val="20"/>
                  <w:lang w:eastAsia="es-ES"/>
                </w:rPr>
                <w:t>bizkaia.eus/es/catastro-de-bizkaia</w:t>
              </w:r>
            </w:hyperlink>
          </w:p>
          <w:p w14:paraId="3868C146" w14:textId="0FC70942" w:rsidR="00836519" w:rsidRDefault="00836519" w:rsidP="00B32FFA">
            <w:pPr>
              <w:spacing w:after="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8365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Álava:  </w:t>
            </w:r>
            <w:hyperlink r:id="rId21" w:history="1">
              <w:r w:rsidRPr="00BF454B">
                <w:rPr>
                  <w:rStyle w:val="Hipervnculo"/>
                  <w:rFonts w:ascii="Times New Roman" w:eastAsia="Times New Roman" w:hAnsi="Times New Roman" w:cs="Times New Roman"/>
                  <w:sz w:val="20"/>
                  <w:szCs w:val="20"/>
                  <w:lang w:eastAsia="es-ES"/>
                </w:rPr>
                <w:t>catastroalava.tracasa.es/</w:t>
              </w:r>
            </w:hyperlink>
          </w:p>
          <w:p w14:paraId="10531D08" w14:textId="5954C3B2" w:rsidR="00836519" w:rsidRPr="0058274D" w:rsidRDefault="00836519" w:rsidP="00B32FFA">
            <w:pPr>
              <w:spacing w:after="6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5827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Gipuzkoa: </w:t>
            </w:r>
            <w:hyperlink r:id="rId22" w:history="1">
              <w:r w:rsidRPr="0058274D">
                <w:rPr>
                  <w:rStyle w:val="Hipervnculo"/>
                  <w:rFonts w:ascii="Times New Roman" w:eastAsia="Times New Roman" w:hAnsi="Times New Roman" w:cs="Times New Roman"/>
                  <w:sz w:val="20"/>
                  <w:szCs w:val="20"/>
                  <w:lang w:eastAsia="es-ES"/>
                </w:rPr>
                <w:t>ssl7.gipuzkoa.net/OgasunaNet/Catastro/porDP.asp</w:t>
              </w:r>
            </w:hyperlink>
          </w:p>
        </w:tc>
      </w:tr>
      <w:tr w:rsidR="006F4596" w:rsidRPr="000E48AA" w14:paraId="41DA87EE" w14:textId="77777777" w:rsidTr="00B900F7">
        <w:trPr>
          <w:trHeight w:val="301"/>
          <w:jc w:val="center"/>
        </w:trPr>
        <w:tc>
          <w:tcPr>
            <w:tcW w:w="1678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7697D89" w14:textId="7D66AD00" w:rsidR="006F4596" w:rsidRDefault="006F4596" w:rsidP="009F546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s-ES"/>
              </w:rPr>
              <w:t>Manifestación</w:t>
            </w:r>
            <w:r w:rsidR="008D3377">
              <w:rPr>
                <w:rFonts w:ascii="Times New Roman" w:eastAsia="Times New Roman" w:hAnsi="Times New Roman" w:cs="Times New Roman"/>
                <w:b/>
                <w:lang w:eastAsia="es-ES"/>
              </w:rPr>
              <w:t xml:space="preserve"> sustitutiva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5501D1CD" w14:textId="70976792" w:rsidR="006F4596" w:rsidRDefault="006F4596" w:rsidP="0026063B">
            <w:pPr>
              <w:spacing w:before="60" w:after="6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¿Puede simplemente manifestarse por el comprador en la escritura que no es gran tenedor y remitirse a la comprobación que haga posteriormente el Registro de la Propiedad? Son controles independientes</w:t>
            </w:r>
            <w:r w:rsidR="004567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y el notario no puede hacer dejación de sus funciones;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4567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tampoco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resulta conveniente para </w:t>
            </w:r>
            <w:r w:rsidR="004567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ambas partes</w:t>
            </w:r>
            <w:r w:rsidR="005676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ni tal comprobación está garantizada al ser la inscripción voluntaria.</w:t>
            </w:r>
          </w:p>
        </w:tc>
      </w:tr>
      <w:tr w:rsidR="00F773B7" w:rsidRPr="000E48AA" w14:paraId="0271809F" w14:textId="77777777" w:rsidTr="00F773B7">
        <w:trPr>
          <w:trHeight w:val="300"/>
          <w:jc w:val="center"/>
        </w:trPr>
        <w:tc>
          <w:tcPr>
            <w:tcW w:w="167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AEA814" w14:textId="276C871B" w:rsidR="00F773B7" w:rsidRDefault="00F773B7" w:rsidP="009F546B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s-ES"/>
              </w:rPr>
              <w:t>Condición suspensiva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2AA4048" w14:textId="77777777" w:rsidR="00F773B7" w:rsidRDefault="00DA78C8" w:rsidP="00DA78C8">
            <w:pPr>
              <w:spacing w:before="60" w:after="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¿Puede condicionarse la adquisición suspensiva a la posterior observancia de los requisitos exigidos por el DL 29/2026?</w:t>
            </w:r>
          </w:p>
          <w:p w14:paraId="09B2C459" w14:textId="4DDF1DDD" w:rsidR="00DA78C8" w:rsidRDefault="00DA78C8" w:rsidP="00DA78C8">
            <w:pPr>
              <w:spacing w:after="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- Si la condición es de acreditación de tales requisitos, quizás quepa admitirla en los casos de urgencia demostrada y si se prevé en la propia escritura que el cumplimiento de la condición habrá de acreditarse notarialmente en un breve plazo.</w:t>
            </w:r>
          </w:p>
          <w:p w14:paraId="0672F018" w14:textId="38E4B2F4" w:rsidR="00DA78C8" w:rsidRDefault="00DA78C8" w:rsidP="00DA78C8">
            <w:pPr>
              <w:spacing w:after="6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- Si la condición es de cumplimiento de tales requisitos, de manera que la adquisición se haría efectiva cuando la sociedad dejase de tener la condición de gran tenedor, constituye un fraude a la norma, la cual toma en consideración la fecha del acuerdo vinculante.</w:t>
            </w:r>
          </w:p>
        </w:tc>
      </w:tr>
    </w:tbl>
    <w:p w14:paraId="2DCDB0F5" w14:textId="4DEC3BD7" w:rsidR="00BC1B8C" w:rsidRDefault="00BC1B8C" w:rsidP="00FA04B7"/>
    <w:p w14:paraId="7AC097F2" w14:textId="77777777" w:rsidR="00BC1B8C" w:rsidRDefault="00BC1B8C">
      <w:r>
        <w:br w:type="page"/>
      </w:r>
    </w:p>
    <w:p w14:paraId="4CAFB087" w14:textId="77777777" w:rsidR="00BC1B8C" w:rsidRDefault="00BC1B8C" w:rsidP="00BC1B8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5810"/>
      </w:tblGrid>
      <w:tr w:rsidR="00BC1B8C" w:rsidRPr="000E48AA" w14:paraId="192BEDDD" w14:textId="77777777" w:rsidTr="00113E3C">
        <w:trPr>
          <w:trHeight w:val="232"/>
          <w:jc w:val="center"/>
        </w:trPr>
        <w:tc>
          <w:tcPr>
            <w:tcW w:w="7488" w:type="dxa"/>
            <w:gridSpan w:val="2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CCCC"/>
          </w:tcPr>
          <w:p w14:paraId="0B13FF0B" w14:textId="1415DFF8" w:rsidR="00BC1B8C" w:rsidRPr="00963114" w:rsidRDefault="003207D1" w:rsidP="00113E3C">
            <w:pPr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>4</w:t>
            </w:r>
            <w:r w:rsidR="00BC1B8C" w:rsidRPr="00B93D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 xml:space="preserve">. </w:t>
            </w:r>
            <w:hyperlink r:id="rId23" w:history="1">
              <w:r w:rsidR="00BC1B8C" w:rsidRPr="00B93DCD">
                <w:rPr>
                  <w:rStyle w:val="Hipervnculo"/>
                  <w:rFonts w:ascii="Times New Roman" w:eastAsia="Times New Roman" w:hAnsi="Times New Roman" w:cs="Times New Roman"/>
                  <w:b/>
                  <w:sz w:val="24"/>
                  <w:szCs w:val="24"/>
                  <w:lang w:eastAsia="es-ES"/>
                </w:rPr>
                <w:t>ARTÍCULO 1 DL 29/2026</w:t>
              </w:r>
            </w:hyperlink>
            <w:r w:rsidR="00BC1B8C" w:rsidRPr="00B93D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 xml:space="preserve">. </w:t>
            </w:r>
            <w:bookmarkStart w:id="5" w:name="NEGOCIOS"/>
            <w:bookmarkEnd w:id="5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>NEGOCIOS</w:t>
            </w:r>
            <w:r w:rsidR="00BC1B8C" w:rsidRPr="00B93D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 xml:space="preserve"> DISCUTID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>O</w:t>
            </w:r>
            <w:r w:rsidR="00BC1B8C" w:rsidRPr="00B93D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ES"/>
              </w:rPr>
              <w:t>S</w:t>
            </w:r>
          </w:p>
        </w:tc>
      </w:tr>
      <w:tr w:rsidR="00FD7BD0" w:rsidRPr="000E48AA" w14:paraId="6FF4C6A0" w14:textId="77777777" w:rsidTr="00FD7BD0">
        <w:trPr>
          <w:trHeight w:val="426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D12E61A" w14:textId="0414A709" w:rsidR="00FD7BD0" w:rsidRPr="00BC4435" w:rsidRDefault="00BC4435" w:rsidP="004538B9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BC4435">
              <w:rPr>
                <w:rFonts w:ascii="Times New Roman" w:eastAsia="Times New Roman" w:hAnsi="Times New Roman" w:cs="Times New Roman"/>
                <w:b/>
                <w:lang w:eastAsia="es-ES"/>
              </w:rPr>
              <w:t>A</w:t>
            </w:r>
            <w:r w:rsidR="00FD7BD0" w:rsidRPr="00BC4435">
              <w:rPr>
                <w:rFonts w:ascii="Times New Roman" w:eastAsia="Times New Roman" w:hAnsi="Times New Roman" w:cs="Times New Roman"/>
                <w:b/>
                <w:lang w:eastAsia="es-ES"/>
              </w:rPr>
              <w:t>dquisici</w:t>
            </w:r>
            <w:r w:rsidRPr="00BC4435">
              <w:rPr>
                <w:rFonts w:ascii="Times New Roman" w:eastAsia="Times New Roman" w:hAnsi="Times New Roman" w:cs="Times New Roman"/>
                <w:b/>
                <w:lang w:eastAsia="es-ES"/>
              </w:rPr>
              <w:t>ón</w:t>
            </w:r>
            <w:r w:rsidR="00FD7BD0" w:rsidRPr="00BC4435">
              <w:rPr>
                <w:rFonts w:ascii="Times New Roman" w:eastAsia="Times New Roman" w:hAnsi="Times New Roman" w:cs="Times New Roman"/>
                <w:b/>
                <w:lang w:eastAsia="es-ES"/>
              </w:rPr>
              <w:t xml:space="preserve"> simultánea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9125933" w14:textId="364FF6DC" w:rsidR="00FD7BD0" w:rsidRPr="00FD7BD0" w:rsidRDefault="00FD7BD0" w:rsidP="00924DDA">
            <w:pPr>
              <w:spacing w:before="60" w:after="2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¿Cuándo se ha de ser titular de las 11 viviendas para ser considerado gran tenedor? Si la sociedad es titular de 9 viviendas y adquiere simultáneamente otras 3 ¿afecta la limitación a la 12ª, a la 11ª y 12ª o a la 10ª, 11ª y 12ª?</w:t>
            </w:r>
          </w:p>
        </w:tc>
      </w:tr>
      <w:tr w:rsidR="00FD7BD0" w:rsidRPr="000E48AA" w14:paraId="576A33C0" w14:textId="77777777" w:rsidTr="00FD7BD0">
        <w:trPr>
          <w:trHeight w:val="425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D0F52F" w14:textId="77777777" w:rsidR="00FD7BD0" w:rsidRPr="004538B9" w:rsidRDefault="00FD7BD0" w:rsidP="004538B9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es-ES"/>
              </w:rPr>
            </w:pPr>
          </w:p>
        </w:tc>
        <w:tc>
          <w:tcPr>
            <w:tcW w:w="58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320561C" w14:textId="2D3989A9" w:rsidR="00FD7BD0" w:rsidRDefault="00FD7BD0" w:rsidP="00264F76">
            <w:pPr>
              <w:spacing w:before="40" w:after="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Si sirve de referencia la legislación fiscal autonómica:</w:t>
            </w:r>
          </w:p>
          <w:p w14:paraId="2FB2932A" w14:textId="77777777" w:rsidR="00FD7BD0" w:rsidRDefault="00FD7BD0" w:rsidP="00924DDA">
            <w:pPr>
              <w:spacing w:after="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- </w:t>
            </w:r>
            <w:r w:rsidRPr="00FD7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En Cataluña la condición de gran tenedor se mide en relación a la situación anterior a la adquisición de la vivienda o viviendas que determinarían tal condición (gráficamente, cuando la persona «entra» en la notaría, no cuando «sale»).</w:t>
            </w:r>
          </w:p>
          <w:p w14:paraId="205AD355" w14:textId="2C1B81D1" w:rsidR="00FD7BD0" w:rsidRDefault="00FD7BD0" w:rsidP="00924DDA">
            <w:pPr>
              <w:spacing w:after="60" w:line="1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-</w:t>
            </w:r>
            <w:r w:rsidR="00264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FD7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Pero en Asturias el precepto añade la coletilla “</w:t>
            </w:r>
            <w:r w:rsidRPr="00FD7BD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... o que con la adquisición objeto de gravamen se conviertan...</w:t>
            </w:r>
            <w:r w:rsidRPr="00FD7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”, por lo que computan las viviendas que se adquieren (gráficamente, cuando la persona «está» en la notaría).</w:t>
            </w:r>
          </w:p>
        </w:tc>
      </w:tr>
      <w:tr w:rsidR="004538B9" w:rsidRPr="000E48AA" w14:paraId="4F9350FD" w14:textId="77777777" w:rsidTr="004538B9">
        <w:trPr>
          <w:trHeight w:val="301"/>
          <w:jc w:val="center"/>
        </w:trPr>
        <w:tc>
          <w:tcPr>
            <w:tcW w:w="1678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4DF6E85" w14:textId="77777777" w:rsidR="004538B9" w:rsidRPr="00DF5430" w:rsidRDefault="004538B9" w:rsidP="004538B9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s-ES"/>
              </w:rPr>
              <w:t>Adquisiciones mortis causa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A9F8C55" w14:textId="77777777" w:rsidR="004538B9" w:rsidRDefault="004538B9" w:rsidP="004538B9">
            <w:pPr>
              <w:spacing w:before="60" w:after="0" w:line="1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7A71B7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Lo de que se incluya en la limitación temporal del DL 29/1926 las adquisiciones gratuitas sólo puede entenderse desde el tópico jurídico, por cuanto la limitación viene referida en el caso de grandes tenedores a las personas jurídicas. </w:t>
            </w:r>
          </w:p>
          <w:p w14:paraId="13D78972" w14:textId="77777777" w:rsidR="00532D57" w:rsidRDefault="004538B9" w:rsidP="00532D57">
            <w:pPr>
              <w:spacing w:after="0" w:line="1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7A71B7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La consecuencia literal es que quedarían afectadas las adquisiciones mortis causa por personas jurídicas, normalmente los llamados “legados solidarios” en favor de entidades benéficas.</w:t>
            </w:r>
          </w:p>
          <w:p w14:paraId="25D74C35" w14:textId="00389375" w:rsidR="004538B9" w:rsidRPr="007A71B7" w:rsidRDefault="00532D57" w:rsidP="004538B9">
            <w:pPr>
              <w:spacing w:after="60" w:line="1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Pero no hay que perder de vista que, incluso en otros supuestos de limitación a la transmisión como ocurre con la vivienda protegida, siempre se exceptúan las adquisiciones mortis causa.</w:t>
            </w:r>
          </w:p>
        </w:tc>
      </w:tr>
      <w:tr w:rsidR="004538B9" w:rsidRPr="000E48AA" w14:paraId="58709340" w14:textId="77777777" w:rsidTr="004538B9">
        <w:trPr>
          <w:trHeight w:val="426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196DB8A" w14:textId="77777777" w:rsidR="004538B9" w:rsidRDefault="004538B9" w:rsidP="004538B9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s-ES"/>
              </w:rPr>
              <w:t>Aportaciones sociales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37130F8" w14:textId="77777777" w:rsidR="004538B9" w:rsidRPr="000C554E" w:rsidRDefault="004538B9" w:rsidP="004538B9">
            <w:pPr>
              <w:spacing w:before="60" w:after="20" w:line="18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0C554E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¿Se incluyen las aportaciones sociales? El derogado DL 26/2026 hablaba de “</w:t>
            </w:r>
            <w:r w:rsidRPr="000C55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ES"/>
              </w:rPr>
              <w:t>precio</w:t>
            </w:r>
            <w:r w:rsidRPr="000C554E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”, pero el DL 29/2026 habla de “</w:t>
            </w:r>
            <w:r w:rsidRPr="000C55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ES"/>
              </w:rPr>
              <w:t>valor de contraprestación</w:t>
            </w:r>
            <w:r w:rsidRPr="000C554E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” [quizás para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poder</w:t>
            </w:r>
            <w:r w:rsidRPr="000C554E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determinar a continuación que se incluye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en la contraprestación</w:t>
            </w:r>
            <w:r w:rsidRPr="000C554E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no solo las cantidades recibidas sino otras ventajas], aunque al final vuelve a hablar de “</w:t>
            </w:r>
            <w:r w:rsidRPr="000C554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ES"/>
              </w:rPr>
              <w:t>compraventa</w:t>
            </w:r>
            <w:r w:rsidRPr="000C554E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”. </w:t>
            </w:r>
          </w:p>
        </w:tc>
      </w:tr>
      <w:tr w:rsidR="004538B9" w:rsidRPr="000E48AA" w14:paraId="7DD095E9" w14:textId="77777777" w:rsidTr="004538B9">
        <w:trPr>
          <w:trHeight w:val="425"/>
          <w:jc w:val="center"/>
        </w:trPr>
        <w:tc>
          <w:tcPr>
            <w:tcW w:w="1678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1CDF383" w14:textId="77777777" w:rsidR="004538B9" w:rsidRDefault="004538B9" w:rsidP="004538B9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503CCB3" w14:textId="08952CAC" w:rsidR="004538B9" w:rsidRPr="000C554E" w:rsidRDefault="004538B9" w:rsidP="004538B9">
            <w:pPr>
              <w:spacing w:before="20" w:after="60" w:line="18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Parece que deba admitirse la aportación por el socio único a su sociedad unipersonal</w:t>
            </w:r>
            <w:r w:rsidR="005A3E3F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y, en general, todas aquellas en que haya identidad entre transmitentes y socios (por ejemplo, un matrimonio).</w:t>
            </w:r>
          </w:p>
        </w:tc>
      </w:tr>
      <w:tr w:rsidR="004538B9" w:rsidRPr="000E48AA" w14:paraId="1C794DCC" w14:textId="77777777" w:rsidTr="004538B9">
        <w:trPr>
          <w:trHeight w:val="425"/>
          <w:jc w:val="center"/>
        </w:trPr>
        <w:tc>
          <w:tcPr>
            <w:tcW w:w="1678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46141643" w14:textId="77777777" w:rsidR="004538B9" w:rsidRDefault="004538B9" w:rsidP="004538B9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s-ES"/>
              </w:rPr>
              <w:t>Permutas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BA6E3AE" w14:textId="12A5321F" w:rsidR="004538B9" w:rsidRDefault="004538B9" w:rsidP="004538B9">
            <w:pPr>
              <w:spacing w:before="60" w:after="60" w:line="18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Por cuanto no contraviene la finalidad de la norma, parece que deba admitirse la permuta de vivienda por vivienda, aunque se trate de vivienda futura a construir.</w:t>
            </w:r>
          </w:p>
        </w:tc>
      </w:tr>
      <w:tr w:rsidR="004538B9" w:rsidRPr="000E48AA" w14:paraId="79E44BA1" w14:textId="77777777" w:rsidTr="004538B9">
        <w:trPr>
          <w:trHeight w:val="451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4AA5ECD" w14:textId="77777777" w:rsidR="004538B9" w:rsidRDefault="004538B9" w:rsidP="004538B9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0C55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Transmisiones entre sociedades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703DA8E" w14:textId="77777777" w:rsidR="004538B9" w:rsidRPr="00787E8A" w:rsidRDefault="004538B9" w:rsidP="004538B9">
            <w:pPr>
              <w:spacing w:before="60" w:after="20" w:line="16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787E8A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¿Se incluyen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en la limitación del DL 29/2026</w:t>
            </w:r>
            <w:r w:rsidRPr="00787E8A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las transmisiones entre sociedades? En contra, se trata de vivienda que no está en el mercado final. A favor, podría estarlo si no lo adquiriese una sociedad.</w:t>
            </w:r>
          </w:p>
        </w:tc>
      </w:tr>
      <w:tr w:rsidR="004538B9" w:rsidRPr="000E48AA" w14:paraId="20AC2F63" w14:textId="77777777" w:rsidTr="00FE7A36">
        <w:trPr>
          <w:trHeight w:val="234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365BB8" w14:textId="77777777" w:rsidR="004538B9" w:rsidRPr="000C554E" w:rsidRDefault="004538B9" w:rsidP="004538B9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E6981FA" w14:textId="622FFF5B" w:rsidR="004538B9" w:rsidRPr="00787E8A" w:rsidRDefault="004538B9" w:rsidP="00FE7A36">
            <w:pPr>
              <w:spacing w:before="40" w:after="60" w:line="16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787E8A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No obstante, parece que deben excluirse las operaciones dentro del mismo grupo desde el momento en que se l</w:t>
            </w:r>
            <w:r w:rsidR="005A3E3F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o</w:t>
            </w:r>
            <w:r w:rsidRPr="00787E8A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s toma en consideración para limitarlas.</w:t>
            </w:r>
          </w:p>
        </w:tc>
      </w:tr>
      <w:tr w:rsidR="004538B9" w:rsidRPr="000E48AA" w14:paraId="575C5C90" w14:textId="77777777" w:rsidTr="004538B9">
        <w:trPr>
          <w:trHeight w:val="320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8A29B18" w14:textId="49F475D2" w:rsidR="004538B9" w:rsidRPr="00B61522" w:rsidRDefault="008E00DB" w:rsidP="004538B9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N</w:t>
            </w:r>
            <w:r w:rsidR="004538B9" w:rsidRPr="00B615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uda propiedad</w:t>
            </w:r>
            <w:r w:rsidR="004538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 xml:space="preserve"> y usufructo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124AF0C" w14:textId="77777777" w:rsidR="004538B9" w:rsidRPr="00E4267E" w:rsidRDefault="004538B9" w:rsidP="004538B9">
            <w:pPr>
              <w:spacing w:before="60" w:after="20" w:line="16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E4267E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¿La limitación del DL 29/2026 alcanza a la sola adquisición de la nuda propiedad? Entiendo que no mientras el usufructo se configure como vitalicio y, además, con una duración mínima [transmisible a los herederos del usufructuario] igual a la de la limitación, es decir, hasta el 31/12/2030.</w:t>
            </w:r>
          </w:p>
        </w:tc>
      </w:tr>
      <w:tr w:rsidR="004538B9" w:rsidRPr="000E48AA" w14:paraId="3567114E" w14:textId="77777777" w:rsidTr="004538B9">
        <w:trPr>
          <w:trHeight w:val="319"/>
          <w:jc w:val="center"/>
        </w:trPr>
        <w:tc>
          <w:tcPr>
            <w:tcW w:w="167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D57EE29" w14:textId="77777777" w:rsidR="004538B9" w:rsidRPr="00B61522" w:rsidRDefault="004538B9" w:rsidP="004538B9">
            <w:pPr>
              <w:spacing w:before="60" w:after="60" w:line="20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1585950" w14:textId="77777777" w:rsidR="004538B9" w:rsidRPr="00E4267E" w:rsidRDefault="004538B9" w:rsidP="000C6AAE">
            <w:pPr>
              <w:spacing w:before="40" w:after="60" w:line="16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La limitación del DL 29/2026 debe alcanzar a la adquisición del usufructo, toda vez que priva al transmitente del disfrute de la vivienda.</w:t>
            </w:r>
          </w:p>
        </w:tc>
      </w:tr>
      <w:tr w:rsidR="00297208" w:rsidRPr="000E48AA" w14:paraId="618C95FF" w14:textId="77777777" w:rsidTr="00297208">
        <w:trPr>
          <w:trHeight w:val="201"/>
          <w:jc w:val="center"/>
        </w:trPr>
        <w:tc>
          <w:tcPr>
            <w:tcW w:w="167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1890A2" w14:textId="71940BA2" w:rsidR="00297208" w:rsidRPr="00ED6718" w:rsidRDefault="00297208" w:rsidP="004538B9">
            <w:pPr>
              <w:spacing w:before="60" w:after="60" w:line="18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Participaciones indivisas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9717B1C" w14:textId="7655E704" w:rsidR="00297208" w:rsidRPr="00E55D82" w:rsidRDefault="00532E0B" w:rsidP="00532E0B">
            <w:pPr>
              <w:spacing w:before="60" w:after="20" w:line="1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Si es el titular total de la vivienda quien transmite una participación, entiendo que la limitación afecta igualmente a la operación.</w:t>
            </w:r>
          </w:p>
        </w:tc>
      </w:tr>
      <w:tr w:rsidR="00297208" w:rsidRPr="000E48AA" w14:paraId="367A53E8" w14:textId="77777777" w:rsidTr="00297208">
        <w:trPr>
          <w:trHeight w:val="200"/>
          <w:jc w:val="center"/>
        </w:trPr>
        <w:tc>
          <w:tcPr>
            <w:tcW w:w="1678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AA620A9" w14:textId="77777777" w:rsidR="00297208" w:rsidRDefault="00297208" w:rsidP="004538B9">
            <w:pPr>
              <w:spacing w:before="60" w:after="60" w:line="18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3FD926" w14:textId="2BABC4CC" w:rsidR="00297208" w:rsidRPr="00E55D82" w:rsidRDefault="00532E0B" w:rsidP="00D64E81">
            <w:pPr>
              <w:spacing w:before="20" w:after="60" w:line="1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Si es 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titular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parcial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de la vivienda quien transmite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su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participación, entiendo que la limitación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no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afecta a la operación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, sin perjuicio del derecho retracto de los demás cotitulares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.</w:t>
            </w:r>
          </w:p>
        </w:tc>
      </w:tr>
      <w:tr w:rsidR="004538B9" w:rsidRPr="000E48AA" w14:paraId="6DC72357" w14:textId="77777777" w:rsidTr="00297208">
        <w:trPr>
          <w:trHeight w:val="301"/>
          <w:jc w:val="center"/>
        </w:trPr>
        <w:tc>
          <w:tcPr>
            <w:tcW w:w="167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4E0F9C80" w14:textId="77777777" w:rsidR="004538B9" w:rsidRPr="00ED6718" w:rsidRDefault="004538B9" w:rsidP="004538B9">
            <w:pPr>
              <w:spacing w:before="60" w:after="60" w:line="18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ED6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Documentos privados con fecha fehaciente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47F3C486" w14:textId="77777777" w:rsidR="004538B9" w:rsidRPr="00E55D82" w:rsidRDefault="004538B9" w:rsidP="004538B9">
            <w:pPr>
              <w:spacing w:before="60" w:after="60" w:line="1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E55D82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¿Pueden elevarse a escritura pública los contratos anteriores a la entrada en vigor del DL 29/202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6</w:t>
            </w:r>
            <w:r w:rsidRPr="00E55D82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 con fecha fehaciente? Parece que únicamente si el documento privado reúne los requisitos del art. 1227 del Código Civil.</w:t>
            </w:r>
          </w:p>
        </w:tc>
      </w:tr>
      <w:tr w:rsidR="004538B9" w:rsidRPr="000E48AA" w14:paraId="211AAB3B" w14:textId="77777777" w:rsidTr="00297208">
        <w:trPr>
          <w:trHeight w:val="301"/>
          <w:jc w:val="center"/>
        </w:trPr>
        <w:tc>
          <w:tcPr>
            <w:tcW w:w="167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A3B892" w14:textId="77777777" w:rsidR="004538B9" w:rsidRDefault="004538B9" w:rsidP="004538B9">
            <w:pPr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DF5430">
              <w:rPr>
                <w:rFonts w:ascii="Times New Roman" w:eastAsia="Times New Roman" w:hAnsi="Times New Roman" w:cs="Times New Roman"/>
                <w:b/>
                <w:lang w:eastAsia="es-ES"/>
              </w:rPr>
              <w:t>Precontratos</w:t>
            </w:r>
          </w:p>
          <w:p w14:paraId="22EC652D" w14:textId="77777777" w:rsidR="004538B9" w:rsidRPr="00DF5430" w:rsidRDefault="004538B9" w:rsidP="004538B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s-ES"/>
              </w:rPr>
              <w:t>y opciones</w:t>
            </w:r>
          </w:p>
        </w:tc>
        <w:tc>
          <w:tcPr>
            <w:tcW w:w="5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1F2224C" w14:textId="77777777" w:rsidR="004538B9" w:rsidRPr="00DF5430" w:rsidRDefault="004538B9" w:rsidP="004538B9">
            <w:pPr>
              <w:spacing w:before="60" w:after="60" w:line="18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DF5430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¿Afecta  la limitación temporal del DL 29/202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6</w:t>
            </w:r>
            <w:r w:rsidRPr="00DF5430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a los precontratos meramente obligacionales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y opciones de compra que hayan de hacerse efectivos después del 31/12/2030</w:t>
            </w:r>
            <w:r w:rsidRPr="00DF5430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?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Sin perjuicio de sus consecuencias fiscales, entiendo que no, siempre que su desistimiento por venta a un tercero no implique penalización para el transmitente.</w:t>
            </w:r>
          </w:p>
        </w:tc>
      </w:tr>
    </w:tbl>
    <w:p w14:paraId="1727C64F" w14:textId="77777777" w:rsidR="00BC1B8C" w:rsidRPr="00FA04B7" w:rsidRDefault="00BC1B8C" w:rsidP="00BC1B8C"/>
    <w:p w14:paraId="4D8A4E57" w14:textId="77777777" w:rsidR="00BA6035" w:rsidRPr="00FA04B7" w:rsidRDefault="00BA6035" w:rsidP="00FA04B7"/>
    <w:sectPr w:rsidR="00BA6035" w:rsidRPr="00FA04B7">
      <w:footerReference w:type="default" r:id="rId2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95F77" w14:textId="77777777" w:rsidR="001050D0" w:rsidRDefault="001050D0" w:rsidP="00496F17">
      <w:pPr>
        <w:spacing w:after="0" w:line="240" w:lineRule="auto"/>
      </w:pPr>
      <w:r>
        <w:separator/>
      </w:r>
    </w:p>
  </w:endnote>
  <w:endnote w:type="continuationSeparator" w:id="0">
    <w:p w14:paraId="7452DCC4" w14:textId="77777777" w:rsidR="001050D0" w:rsidRDefault="001050D0" w:rsidP="00496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5C501" w14:textId="520A299E" w:rsidR="00496F17" w:rsidRDefault="00496F17" w:rsidP="00450A58">
    <w:pPr>
      <w:pStyle w:val="Piedepgina"/>
      <w:spacing w:line="200" w:lineRule="exact"/>
      <w:jc w:val="center"/>
      <w:rPr>
        <w:i/>
        <w:iCs/>
      </w:rPr>
    </w:pPr>
    <w:r w:rsidRPr="00496F17">
      <w:rPr>
        <w:i/>
        <w:iCs/>
      </w:rPr>
      <w:t>Vicente Martorell, notario de Oviedo</w:t>
    </w:r>
  </w:p>
  <w:p w14:paraId="1C95F0AA" w14:textId="63FF1BDE" w:rsidR="00172359" w:rsidRPr="00496F17" w:rsidRDefault="00E80972" w:rsidP="00450A58">
    <w:pPr>
      <w:pStyle w:val="Piedepgina"/>
      <w:spacing w:line="200" w:lineRule="exact"/>
      <w:jc w:val="center"/>
      <w:rPr>
        <w:i/>
        <w:iCs/>
      </w:rPr>
    </w:pPr>
    <w:r>
      <w:rPr>
        <w:i/>
        <w:iCs/>
      </w:rPr>
      <w:t>a</w:t>
    </w:r>
    <w:r w:rsidR="00172359">
      <w:rPr>
        <w:i/>
        <w:iCs/>
      </w:rPr>
      <w:t>ctualizado en www.oviedonotaria.com</w:t>
    </w:r>
  </w:p>
  <w:p w14:paraId="64D50FA2" w14:textId="7BE6C1DD" w:rsidR="00496F17" w:rsidRPr="00496F17" w:rsidRDefault="00004124" w:rsidP="00450A58">
    <w:pPr>
      <w:pStyle w:val="Piedepgina"/>
      <w:spacing w:line="200" w:lineRule="exact"/>
      <w:jc w:val="center"/>
      <w:rPr>
        <w:i/>
        <w:iCs/>
      </w:rPr>
    </w:pPr>
    <w:r>
      <w:rPr>
        <w:i/>
        <w:iCs/>
      </w:rPr>
      <w:t>1</w:t>
    </w:r>
    <w:r w:rsidR="00B0495E">
      <w:rPr>
        <w:i/>
        <w:iCs/>
      </w:rPr>
      <w:t>3</w:t>
    </w:r>
    <w:r w:rsidR="00496F17" w:rsidRPr="00496F17">
      <w:rPr>
        <w:i/>
        <w:iCs/>
      </w:rPr>
      <w:t>/10/2026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B158C" w14:textId="77777777" w:rsidR="001050D0" w:rsidRDefault="001050D0" w:rsidP="00496F17">
      <w:pPr>
        <w:spacing w:after="0" w:line="240" w:lineRule="auto"/>
      </w:pPr>
      <w:r>
        <w:separator/>
      </w:r>
    </w:p>
  </w:footnote>
  <w:footnote w:type="continuationSeparator" w:id="0">
    <w:p w14:paraId="53A15AC4" w14:textId="77777777" w:rsidR="001050D0" w:rsidRDefault="001050D0" w:rsidP="00496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45D2"/>
    <w:multiLevelType w:val="hybridMultilevel"/>
    <w:tmpl w:val="8C2CE1C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56C04CE"/>
    <w:multiLevelType w:val="hybridMultilevel"/>
    <w:tmpl w:val="32203EFA"/>
    <w:lvl w:ilvl="0" w:tplc="74DA30B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4676635">
    <w:abstractNumId w:val="0"/>
  </w:num>
  <w:num w:numId="2" w16cid:durableId="142551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B7"/>
    <w:rsid w:val="00004124"/>
    <w:rsid w:val="0003170D"/>
    <w:rsid w:val="000517F1"/>
    <w:rsid w:val="000548DA"/>
    <w:rsid w:val="000812ED"/>
    <w:rsid w:val="0009245B"/>
    <w:rsid w:val="000C554E"/>
    <w:rsid w:val="000C6AAE"/>
    <w:rsid w:val="000D392C"/>
    <w:rsid w:val="001050D0"/>
    <w:rsid w:val="00105ED7"/>
    <w:rsid w:val="0010603A"/>
    <w:rsid w:val="00112B97"/>
    <w:rsid w:val="00112FAF"/>
    <w:rsid w:val="00124584"/>
    <w:rsid w:val="00132648"/>
    <w:rsid w:val="00164D76"/>
    <w:rsid w:val="0016629D"/>
    <w:rsid w:val="00172359"/>
    <w:rsid w:val="00172624"/>
    <w:rsid w:val="001840E4"/>
    <w:rsid w:val="001843AE"/>
    <w:rsid w:val="00184D97"/>
    <w:rsid w:val="001915DD"/>
    <w:rsid w:val="001A06C6"/>
    <w:rsid w:val="001A4F44"/>
    <w:rsid w:val="001C0084"/>
    <w:rsid w:val="001C62F4"/>
    <w:rsid w:val="001D41B2"/>
    <w:rsid w:val="001D4CA6"/>
    <w:rsid w:val="001F36B3"/>
    <w:rsid w:val="0020493A"/>
    <w:rsid w:val="002204ED"/>
    <w:rsid w:val="002222E0"/>
    <w:rsid w:val="0022631E"/>
    <w:rsid w:val="00241B70"/>
    <w:rsid w:val="0026063B"/>
    <w:rsid w:val="00264F76"/>
    <w:rsid w:val="0027314A"/>
    <w:rsid w:val="00282D4A"/>
    <w:rsid w:val="00297208"/>
    <w:rsid w:val="002B3DCF"/>
    <w:rsid w:val="002C1B02"/>
    <w:rsid w:val="002E1B3B"/>
    <w:rsid w:val="002F7E74"/>
    <w:rsid w:val="00303B2C"/>
    <w:rsid w:val="00313DA9"/>
    <w:rsid w:val="00317430"/>
    <w:rsid w:val="003207D1"/>
    <w:rsid w:val="00346791"/>
    <w:rsid w:val="00361641"/>
    <w:rsid w:val="003755A6"/>
    <w:rsid w:val="00390F5D"/>
    <w:rsid w:val="003A5178"/>
    <w:rsid w:val="003C001A"/>
    <w:rsid w:val="003E3EB1"/>
    <w:rsid w:val="003F5484"/>
    <w:rsid w:val="003F5D9A"/>
    <w:rsid w:val="0040301F"/>
    <w:rsid w:val="004046A6"/>
    <w:rsid w:val="00421908"/>
    <w:rsid w:val="00442268"/>
    <w:rsid w:val="00444B12"/>
    <w:rsid w:val="00450A58"/>
    <w:rsid w:val="004538B9"/>
    <w:rsid w:val="00456791"/>
    <w:rsid w:val="004645D3"/>
    <w:rsid w:val="0046473E"/>
    <w:rsid w:val="00471845"/>
    <w:rsid w:val="00490ABF"/>
    <w:rsid w:val="00496F17"/>
    <w:rsid w:val="004A4C7B"/>
    <w:rsid w:val="004A5CC5"/>
    <w:rsid w:val="004B4AD9"/>
    <w:rsid w:val="004B7319"/>
    <w:rsid w:val="004C0291"/>
    <w:rsid w:val="004D5FC0"/>
    <w:rsid w:val="004F63CF"/>
    <w:rsid w:val="0050577B"/>
    <w:rsid w:val="00511578"/>
    <w:rsid w:val="005138D9"/>
    <w:rsid w:val="00522D79"/>
    <w:rsid w:val="0052301F"/>
    <w:rsid w:val="00532D57"/>
    <w:rsid w:val="00532E0B"/>
    <w:rsid w:val="00545E4F"/>
    <w:rsid w:val="00547438"/>
    <w:rsid w:val="00553969"/>
    <w:rsid w:val="00554E65"/>
    <w:rsid w:val="0056769B"/>
    <w:rsid w:val="0058274D"/>
    <w:rsid w:val="00596AEE"/>
    <w:rsid w:val="005A3E3F"/>
    <w:rsid w:val="005C2C6C"/>
    <w:rsid w:val="005C30F9"/>
    <w:rsid w:val="005C587B"/>
    <w:rsid w:val="005D37BA"/>
    <w:rsid w:val="005D674D"/>
    <w:rsid w:val="005F5F43"/>
    <w:rsid w:val="00614A48"/>
    <w:rsid w:val="00623778"/>
    <w:rsid w:val="006261AF"/>
    <w:rsid w:val="0062708A"/>
    <w:rsid w:val="0063290C"/>
    <w:rsid w:val="00633D67"/>
    <w:rsid w:val="006370E6"/>
    <w:rsid w:val="00641B36"/>
    <w:rsid w:val="006439ED"/>
    <w:rsid w:val="0067791F"/>
    <w:rsid w:val="006935AE"/>
    <w:rsid w:val="006A541D"/>
    <w:rsid w:val="006A65B9"/>
    <w:rsid w:val="006C5A65"/>
    <w:rsid w:val="006D4B60"/>
    <w:rsid w:val="006E1915"/>
    <w:rsid w:val="006E23EC"/>
    <w:rsid w:val="006E333F"/>
    <w:rsid w:val="006E7A64"/>
    <w:rsid w:val="006E7D92"/>
    <w:rsid w:val="006F4596"/>
    <w:rsid w:val="006F5154"/>
    <w:rsid w:val="007034BD"/>
    <w:rsid w:val="007107CF"/>
    <w:rsid w:val="007268E7"/>
    <w:rsid w:val="007425CC"/>
    <w:rsid w:val="00745CDF"/>
    <w:rsid w:val="00761E98"/>
    <w:rsid w:val="007670A4"/>
    <w:rsid w:val="00774A2A"/>
    <w:rsid w:val="00774D57"/>
    <w:rsid w:val="00787E8A"/>
    <w:rsid w:val="00791A08"/>
    <w:rsid w:val="00794877"/>
    <w:rsid w:val="00797A56"/>
    <w:rsid w:val="007A71B7"/>
    <w:rsid w:val="007C6466"/>
    <w:rsid w:val="007D1E2D"/>
    <w:rsid w:val="007E3B28"/>
    <w:rsid w:val="007E4B9D"/>
    <w:rsid w:val="007E7F3B"/>
    <w:rsid w:val="007F4D68"/>
    <w:rsid w:val="00814B8C"/>
    <w:rsid w:val="00814CE1"/>
    <w:rsid w:val="00815417"/>
    <w:rsid w:val="00836519"/>
    <w:rsid w:val="00853F48"/>
    <w:rsid w:val="00855D2A"/>
    <w:rsid w:val="0086199C"/>
    <w:rsid w:val="0088522C"/>
    <w:rsid w:val="00885BE2"/>
    <w:rsid w:val="008A14ED"/>
    <w:rsid w:val="008A1E9C"/>
    <w:rsid w:val="008A3617"/>
    <w:rsid w:val="008A4096"/>
    <w:rsid w:val="008B3D9E"/>
    <w:rsid w:val="008C3C62"/>
    <w:rsid w:val="008D3377"/>
    <w:rsid w:val="008D7029"/>
    <w:rsid w:val="008E00DB"/>
    <w:rsid w:val="008F574A"/>
    <w:rsid w:val="0091716F"/>
    <w:rsid w:val="00917C5A"/>
    <w:rsid w:val="00921BEF"/>
    <w:rsid w:val="00924DDA"/>
    <w:rsid w:val="009555C0"/>
    <w:rsid w:val="00955F47"/>
    <w:rsid w:val="00963114"/>
    <w:rsid w:val="00963497"/>
    <w:rsid w:val="00966D9F"/>
    <w:rsid w:val="00980B66"/>
    <w:rsid w:val="00992C76"/>
    <w:rsid w:val="009956B5"/>
    <w:rsid w:val="00996432"/>
    <w:rsid w:val="009A5331"/>
    <w:rsid w:val="009D2F93"/>
    <w:rsid w:val="009E7F51"/>
    <w:rsid w:val="009F546B"/>
    <w:rsid w:val="00A22575"/>
    <w:rsid w:val="00A34E58"/>
    <w:rsid w:val="00A44DB7"/>
    <w:rsid w:val="00A468F5"/>
    <w:rsid w:val="00A52090"/>
    <w:rsid w:val="00A61341"/>
    <w:rsid w:val="00A71590"/>
    <w:rsid w:val="00A95E6A"/>
    <w:rsid w:val="00AA04AD"/>
    <w:rsid w:val="00AA1901"/>
    <w:rsid w:val="00AA42ED"/>
    <w:rsid w:val="00AB1AB4"/>
    <w:rsid w:val="00AD0407"/>
    <w:rsid w:val="00AD1711"/>
    <w:rsid w:val="00AD65A3"/>
    <w:rsid w:val="00AF11DD"/>
    <w:rsid w:val="00AF3D25"/>
    <w:rsid w:val="00AF509D"/>
    <w:rsid w:val="00AF6F02"/>
    <w:rsid w:val="00B04782"/>
    <w:rsid w:val="00B0495E"/>
    <w:rsid w:val="00B06941"/>
    <w:rsid w:val="00B10B37"/>
    <w:rsid w:val="00B23506"/>
    <w:rsid w:val="00B32260"/>
    <w:rsid w:val="00B32FFA"/>
    <w:rsid w:val="00B43537"/>
    <w:rsid w:val="00B4542F"/>
    <w:rsid w:val="00B61522"/>
    <w:rsid w:val="00B617EE"/>
    <w:rsid w:val="00B900F7"/>
    <w:rsid w:val="00B93DCD"/>
    <w:rsid w:val="00BA6035"/>
    <w:rsid w:val="00BB2D36"/>
    <w:rsid w:val="00BC188C"/>
    <w:rsid w:val="00BC1B8C"/>
    <w:rsid w:val="00BC4435"/>
    <w:rsid w:val="00BD236B"/>
    <w:rsid w:val="00BD50A3"/>
    <w:rsid w:val="00BE20A5"/>
    <w:rsid w:val="00BF25B3"/>
    <w:rsid w:val="00C00D1B"/>
    <w:rsid w:val="00C03AAA"/>
    <w:rsid w:val="00C03D1F"/>
    <w:rsid w:val="00C13B7C"/>
    <w:rsid w:val="00C30952"/>
    <w:rsid w:val="00C51A69"/>
    <w:rsid w:val="00C56F40"/>
    <w:rsid w:val="00C63019"/>
    <w:rsid w:val="00C714F1"/>
    <w:rsid w:val="00C72F35"/>
    <w:rsid w:val="00C805C6"/>
    <w:rsid w:val="00C90D7F"/>
    <w:rsid w:val="00C95861"/>
    <w:rsid w:val="00CA32C1"/>
    <w:rsid w:val="00CA4B58"/>
    <w:rsid w:val="00CD0CBF"/>
    <w:rsid w:val="00D175EF"/>
    <w:rsid w:val="00D17770"/>
    <w:rsid w:val="00D22F83"/>
    <w:rsid w:val="00D260A4"/>
    <w:rsid w:val="00D33EA1"/>
    <w:rsid w:val="00D60BD6"/>
    <w:rsid w:val="00D64E81"/>
    <w:rsid w:val="00D84D35"/>
    <w:rsid w:val="00D90A89"/>
    <w:rsid w:val="00D9554B"/>
    <w:rsid w:val="00DA78C8"/>
    <w:rsid w:val="00DB342F"/>
    <w:rsid w:val="00DB3B5F"/>
    <w:rsid w:val="00DB3CA0"/>
    <w:rsid w:val="00DC42FC"/>
    <w:rsid w:val="00DD463C"/>
    <w:rsid w:val="00DE0465"/>
    <w:rsid w:val="00DE658C"/>
    <w:rsid w:val="00DF5430"/>
    <w:rsid w:val="00E24AF0"/>
    <w:rsid w:val="00E30B5D"/>
    <w:rsid w:val="00E350F6"/>
    <w:rsid w:val="00E36C89"/>
    <w:rsid w:val="00E36D8E"/>
    <w:rsid w:val="00E4267E"/>
    <w:rsid w:val="00E46CBF"/>
    <w:rsid w:val="00E55D82"/>
    <w:rsid w:val="00E56DD1"/>
    <w:rsid w:val="00E57927"/>
    <w:rsid w:val="00E6603A"/>
    <w:rsid w:val="00E71E7E"/>
    <w:rsid w:val="00E80972"/>
    <w:rsid w:val="00E81510"/>
    <w:rsid w:val="00E86B6D"/>
    <w:rsid w:val="00E93EB8"/>
    <w:rsid w:val="00EA7BD9"/>
    <w:rsid w:val="00EB34B8"/>
    <w:rsid w:val="00ED6718"/>
    <w:rsid w:val="00EF1292"/>
    <w:rsid w:val="00EF1BBB"/>
    <w:rsid w:val="00EF39FF"/>
    <w:rsid w:val="00F1649F"/>
    <w:rsid w:val="00F17528"/>
    <w:rsid w:val="00F22DFB"/>
    <w:rsid w:val="00F2734B"/>
    <w:rsid w:val="00F31D20"/>
    <w:rsid w:val="00F34EF2"/>
    <w:rsid w:val="00F45B3B"/>
    <w:rsid w:val="00F54D6F"/>
    <w:rsid w:val="00F60067"/>
    <w:rsid w:val="00F71E1F"/>
    <w:rsid w:val="00F773B7"/>
    <w:rsid w:val="00F80C56"/>
    <w:rsid w:val="00F815DD"/>
    <w:rsid w:val="00F85F55"/>
    <w:rsid w:val="00FA04B7"/>
    <w:rsid w:val="00FA5685"/>
    <w:rsid w:val="00FD340E"/>
    <w:rsid w:val="00FD7BD0"/>
    <w:rsid w:val="00FE7A36"/>
    <w:rsid w:val="00FF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A846"/>
  <w15:chartTrackingRefBased/>
  <w15:docId w15:val="{8140FA06-3F26-47AA-8BC9-1C7C612B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A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A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FA04B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80C5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96F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6F17"/>
  </w:style>
  <w:style w:type="paragraph" w:styleId="Piedepgina">
    <w:name w:val="footer"/>
    <w:basedOn w:val="Normal"/>
    <w:link w:val="PiedepginaCar"/>
    <w:uiPriority w:val="99"/>
    <w:unhideWhenUsed/>
    <w:rsid w:val="00496F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6F17"/>
  </w:style>
  <w:style w:type="character" w:styleId="Hipervnculovisitado">
    <w:name w:val="FollowedHyperlink"/>
    <w:basedOn w:val="Fuentedeprrafopredeter"/>
    <w:uiPriority w:val="99"/>
    <w:semiHidden/>
    <w:unhideWhenUsed/>
    <w:rsid w:val="00DD463C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F11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F11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F11D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1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1DD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AF11DD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99"/>
    <w:unhideWhenUsed/>
    <w:rsid w:val="00992C7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92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diario_boe/txt.php?id=BOE-A-2026-20823" TargetMode="External"/><Relationship Id="rId13" Type="http://schemas.openxmlformats.org/officeDocument/2006/relationships/hyperlink" Target="https://sede.registradores.org/sede/sede-corpme-web/registro-de-la-propiedad/publicidad/certificaciones" TargetMode="External"/><Relationship Id="rId18" Type="http://schemas.openxmlformats.org/officeDocument/2006/relationships/hyperlink" Target="http://www.sedecatastro.gob.es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catastroalava.tracasa.es/" TargetMode="External"/><Relationship Id="rId7" Type="http://schemas.openxmlformats.org/officeDocument/2006/relationships/hyperlink" Target="http://www.oviedonotaria.com" TargetMode="External"/><Relationship Id="rId12" Type="http://schemas.openxmlformats.org/officeDocument/2006/relationships/hyperlink" Target="https://www.boe.es/diario_boe/txt.php?id=BOE-A-2026-20823" TargetMode="External"/><Relationship Id="rId17" Type="http://schemas.openxmlformats.org/officeDocument/2006/relationships/hyperlink" Target="https://www.boe.es/diario_boe/txt.php?id=BOE-A-2026-20823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oe.es/buscar/act.php?id=BOE-A-2023-12203&amp;p=20261007&amp;tn=1" TargetMode="External"/><Relationship Id="rId20" Type="http://schemas.openxmlformats.org/officeDocument/2006/relationships/hyperlink" Target="http://www.bizkaia.eus/es/catastro-de-bizkai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oe.es/buscar/act.php?id=BOE-A-2023-12203&amp;p=20261007&amp;tn=1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boe.es/buscar/act.php?id=BOE-A-2023-12203&amp;p=20261007&amp;tn=1" TargetMode="External"/><Relationship Id="rId23" Type="http://schemas.openxmlformats.org/officeDocument/2006/relationships/hyperlink" Target="https://www.boe.es/diario_boe/txt.php?id=BOE-A-2026-20823" TargetMode="External"/><Relationship Id="rId10" Type="http://schemas.openxmlformats.org/officeDocument/2006/relationships/hyperlink" Target="https://www.boe.es/buscar/doc.php?id=BOE-A-2026-20526" TargetMode="External"/><Relationship Id="rId19" Type="http://schemas.openxmlformats.org/officeDocument/2006/relationships/hyperlink" Target="http://www.navarra.es/es/hacienda/riqueza-territori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e.es/diario_boe/txt.php?id=BOE-A-2026-20266" TargetMode="External"/><Relationship Id="rId14" Type="http://schemas.openxmlformats.org/officeDocument/2006/relationships/hyperlink" Target="http://noticias.juridicas.com/base_datos/Privado/rd716-2009.html" TargetMode="External"/><Relationship Id="rId22" Type="http://schemas.openxmlformats.org/officeDocument/2006/relationships/hyperlink" Target="https://ssl7.gipuzkoa.net/OgasunaNet/Catastro/porDP.as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antillas\NoNotar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NoNotarial.dotm</Template>
  <TotalTime>820</TotalTime>
  <Pages>5</Pages>
  <Words>3110</Words>
  <Characters>17232</Characters>
  <Application>Microsoft Office Word</Application>
  <DocSecurity>0</DocSecurity>
  <Lines>441</Lines>
  <Paragraphs>170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20172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dvicente</dc:creator>
  <cp:keywords/>
  <dc:description/>
  <cp:lastModifiedBy>Vicente Martorell</cp:lastModifiedBy>
  <cp:revision>249</cp:revision>
  <cp:lastPrinted>2026-10-08T17:15:00Z</cp:lastPrinted>
  <dcterms:created xsi:type="dcterms:W3CDTF">2026-10-07T09:40:00Z</dcterms:created>
  <dcterms:modified xsi:type="dcterms:W3CDTF">2026-10-13T08:29:00Z</dcterms:modified>
</cp:coreProperties>
</file>